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426"/>
      </w:tblGrid>
      <w:tr>
        <w:tc>
          <w:tcPr>
            <w:tcW w:type="dxa" w:w="10426"/>
            <w:shd w:fill="0b3254" w:val="clear"/>
          </w:tcPr>
          <w:p>
            <w:pPr>
              <w:jc w:val="left"/>
            </w:pPr>
            <w:r/>
            <w:r>
              <w:rPr>
                <w:rFonts w:ascii="Source Sans Pro" w:hAnsi="Source Sans Pro"/>
                <w:b/>
                <w:i w:val="0"/>
                <w:color w:val="FFFFFF"/>
                <w:sz w:val="52"/>
              </w:rPr>
              <w:t>SHEQ Safety Performance Report</w:t>
            </w:r>
          </w:p>
          <w:p>
            <w:r>
              <w:rPr>
                <w:rFonts w:ascii="Source Sans Pro" w:hAnsi="Source Sans Pro"/>
                <w:b w:val="0"/>
                <w:i w:val="0"/>
                <w:color w:val="D7F2FF"/>
                <w:sz w:val="26"/>
              </w:rPr>
              <w:t>Safety Energy, event risk, and leadership focus areas</w:t>
            </w:r>
          </w:p>
        </w:tc>
      </w:tr>
    </w:tbl>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Report Scope</w:t>
            </w:r>
          </w:p>
          <w:p>
            <w:r>
              <w:rPr>
                <w:rFonts w:ascii="Source Sans Pro" w:hAnsi="Source Sans Pro"/>
                <w:b w:val="0"/>
                <w:i w:val="0"/>
                <w:color w:val="0B3254"/>
                <w:sz w:val="20"/>
              </w:rPr>
              <w:t>Events window: 08 Jul 2023 – 31 Dec 2025. Leading activity window: 01 Jan 2024 – 31 Dec 2025. Built for senior leaders as a concise decision-support pack rather than a compliance summary.</w:t>
            </w:r>
          </w:p>
        </w:tc>
      </w:tr>
    </w:tbl>
    <w:p/>
    <w:tbl>
      <w:tblPr>
        <w:tblStyle w:val="TableGrid"/>
        <w:tblW w:type="auto" w:w="0"/>
        <w:jc w:val="left"/>
        <w:tblLook w:firstColumn="1" w:firstRow="1" w:lastColumn="0" w:lastRow="0" w:noHBand="0" w:noVBand="1" w:val="04A0"/>
      </w:tblPr>
      <w:tblGrid>
        <w:gridCol w:w="5213"/>
        <w:gridCol w:w="5213"/>
      </w:tblGrid>
      <w:tr>
        <w:tc>
          <w:tcPr>
            <w:tcW w:type="dxa" w:w="5213"/>
            <w:shd w:fill="f0f5fa" w:val="clear"/>
          </w:tcPr>
          <w:p>
            <w:pPr>
              <w:jc w:val="center"/>
            </w:pPr>
            <w:r/>
            <w:r>
              <w:rPr>
                <w:rFonts w:ascii="Source Sans Pro" w:hAnsi="Source Sans Pro"/>
                <w:b w:val="0"/>
                <w:i w:val="0"/>
                <w:color w:val="64748B"/>
                <w:sz w:val="16"/>
              </w:rPr>
              <w:t>Generated</w:t>
            </w:r>
          </w:p>
          <w:p>
            <w:pPr>
              <w:jc w:val="center"/>
            </w:pPr>
            <w:r>
              <w:rPr>
                <w:rFonts w:ascii="Source Sans Pro" w:hAnsi="Source Sans Pro"/>
                <w:b/>
                <w:i w:val="0"/>
                <w:color w:val="0B3254"/>
                <w:sz w:val="32"/>
              </w:rPr>
              <w:t>09 Apr 2026</w:t>
            </w:r>
          </w:p>
        </w:tc>
        <w:tc>
          <w:tcPr>
            <w:tcW w:type="dxa" w:w="5213"/>
            <w:shd w:fill="ffffff" w:val="clear"/>
          </w:tcPr>
          <w:p>
            <w:pPr>
              <w:jc w:val="center"/>
            </w:pPr>
            <w:r/>
            <w:r>
              <w:rPr>
                <w:rFonts w:ascii="Source Sans Pro" w:hAnsi="Source Sans Pro"/>
                <w:b w:val="0"/>
                <w:i w:val="0"/>
                <w:color w:val="64748B"/>
                <w:sz w:val="16"/>
              </w:rPr>
              <w:t>Events Coverage</w:t>
            </w:r>
          </w:p>
          <w:p>
            <w:pPr>
              <w:jc w:val="center"/>
            </w:pPr>
            <w:r>
              <w:rPr>
                <w:rFonts w:ascii="Source Sans Pro" w:hAnsi="Source Sans Pro"/>
                <w:b/>
                <w:i w:val="0"/>
                <w:color w:val="0B3254"/>
                <w:sz w:val="32"/>
              </w:rPr>
              <w:t>08 Jul 2023 to 31 Dec 2025</w:t>
            </w:r>
          </w:p>
        </w:tc>
      </w:tr>
      <w:tr>
        <w:tc>
          <w:tcPr>
            <w:tcW w:type="dxa" w:w="5213"/>
            <w:shd w:fill="f0f5fa" w:val="clear"/>
          </w:tcPr>
          <w:p>
            <w:pPr>
              <w:jc w:val="center"/>
            </w:pPr>
            <w:r/>
            <w:r>
              <w:rPr>
                <w:rFonts w:ascii="Source Sans Pro" w:hAnsi="Source Sans Pro"/>
                <w:b w:val="0"/>
                <w:i w:val="0"/>
                <w:color w:val="64748B"/>
                <w:sz w:val="16"/>
              </w:rPr>
              <w:t>Safety Energy Coverage</w:t>
            </w:r>
          </w:p>
          <w:p>
            <w:pPr>
              <w:jc w:val="center"/>
            </w:pPr>
            <w:r>
              <w:rPr>
                <w:rFonts w:ascii="Source Sans Pro" w:hAnsi="Source Sans Pro"/>
                <w:b/>
                <w:i w:val="0"/>
                <w:color w:val="0B3254"/>
                <w:sz w:val="32"/>
              </w:rPr>
              <w:t>01 Jan 2024 to 31 Dec 2025</w:t>
            </w:r>
          </w:p>
        </w:tc>
        <w:tc>
          <w:tcPr>
            <w:tcW w:type="dxa" w:w="5213"/>
            <w:shd w:fill="ffffff" w:val="clear"/>
          </w:tcPr>
          <w:p>
            <w:pPr>
              <w:jc w:val="center"/>
            </w:pPr>
            <w:r/>
            <w:r>
              <w:rPr>
                <w:rFonts w:ascii="Source Sans Pro" w:hAnsi="Source Sans Pro"/>
                <w:b w:val="0"/>
                <w:i w:val="0"/>
                <w:color w:val="64748B"/>
                <w:sz w:val="16"/>
              </w:rPr>
              <w:t>Audience</w:t>
            </w:r>
          </w:p>
          <w:p>
            <w:pPr>
              <w:jc w:val="center"/>
            </w:pPr>
            <w:r>
              <w:rPr>
                <w:rFonts w:ascii="Source Sans Pro" w:hAnsi="Source Sans Pro"/>
                <w:b/>
                <w:i w:val="0"/>
                <w:color w:val="0B3254"/>
                <w:sz w:val="32"/>
              </w:rPr>
              <w:t>Executive / Board</w:t>
            </w:r>
          </w:p>
        </w:tc>
      </w:tr>
    </w:tbl>
    <w:p>
      <w:r>
        <w:br w:type="page"/>
      </w:r>
    </w:p>
    <w:p>
      <w:pPr>
        <w:pStyle w:val="Heading1"/>
      </w:pPr>
      <w:r>
        <w:t>1. Executive Summary</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Leadership Readout</w:t>
            </w:r>
          </w:p>
          <w:p>
            <w:r>
              <w:rPr>
                <w:rFonts w:ascii="Source Sans Pro" w:hAnsi="Source Sans Pro"/>
                <w:b w:val="0"/>
                <w:i w:val="0"/>
                <w:color w:val="0B3254"/>
                <w:sz w:val="20"/>
              </w:rPr>
              <w:t>This summary highlights where event risk is concentrated, where leading activities appear strongest or weakest, and what senior leaders should prioritise next.</w:t>
            </w:r>
          </w:p>
        </w:tc>
      </w:tr>
    </w:tbl>
    <w:p/>
    <w:tbl>
      <w:tblPr>
        <w:tblStyle w:val="TableGrid"/>
        <w:tblW w:type="auto" w:w="0"/>
        <w:jc w:val="left"/>
        <w:tblLook w:firstColumn="1" w:firstRow="1" w:lastColumn="0" w:lastRow="0" w:noHBand="0" w:noVBand="1" w:val="04A0"/>
      </w:tblPr>
      <w:tblGrid>
        <w:gridCol w:w="2606"/>
        <w:gridCol w:w="2606"/>
        <w:gridCol w:w="2606"/>
        <w:gridCol w:w="2606"/>
      </w:tblGrid>
      <w:tr>
        <w:tc>
          <w:tcPr>
            <w:tcW w:type="dxa" w:w="2606"/>
            <w:shd w:fill="f0f5fa" w:val="clear"/>
          </w:tcPr>
          <w:p>
            <w:pPr>
              <w:jc w:val="center"/>
            </w:pPr>
            <w:r/>
            <w:r>
              <w:rPr>
                <w:rFonts w:ascii="Source Sans Pro" w:hAnsi="Source Sans Pro"/>
                <w:b w:val="0"/>
                <w:i w:val="0"/>
                <w:color w:val="64748B"/>
                <w:sz w:val="16"/>
              </w:rPr>
              <w:t>Total Events</w:t>
            </w:r>
          </w:p>
          <w:p>
            <w:pPr>
              <w:jc w:val="center"/>
            </w:pPr>
            <w:r>
              <w:rPr>
                <w:rFonts w:ascii="Source Sans Pro" w:hAnsi="Source Sans Pro"/>
                <w:b/>
                <w:i w:val="0"/>
                <w:color w:val="0B3254"/>
                <w:sz w:val="32"/>
              </w:rPr>
              <w:t>2621</w:t>
            </w:r>
          </w:p>
        </w:tc>
        <w:tc>
          <w:tcPr>
            <w:tcW w:type="dxa" w:w="2606"/>
            <w:shd w:fill="ffffff" w:val="clear"/>
          </w:tcPr>
          <w:p>
            <w:pPr>
              <w:jc w:val="center"/>
            </w:pPr>
            <w:r/>
            <w:r>
              <w:rPr>
                <w:rFonts w:ascii="Source Sans Pro" w:hAnsi="Source Sans Pro"/>
                <w:b w:val="0"/>
                <w:i w:val="0"/>
                <w:color w:val="64748B"/>
                <w:sz w:val="16"/>
              </w:rPr>
              <w:t>Moderate+ Events</w:t>
            </w:r>
          </w:p>
          <w:p>
            <w:pPr>
              <w:jc w:val="center"/>
            </w:pPr>
            <w:r>
              <w:rPr>
                <w:rFonts w:ascii="Source Sans Pro" w:hAnsi="Source Sans Pro"/>
                <w:b/>
                <w:i w:val="0"/>
                <w:color w:val="0B3254"/>
                <w:sz w:val="32"/>
              </w:rPr>
              <w:t>88</w:t>
            </w:r>
          </w:p>
        </w:tc>
        <w:tc>
          <w:tcPr>
            <w:tcW w:type="dxa" w:w="2606"/>
            <w:shd w:fill="f0f5fa" w:val="clear"/>
          </w:tcPr>
          <w:p>
            <w:pPr>
              <w:jc w:val="center"/>
            </w:pPr>
            <w:r/>
            <w:r>
              <w:rPr>
                <w:rFonts w:ascii="Source Sans Pro" w:hAnsi="Source Sans Pro"/>
                <w:b w:val="0"/>
                <w:i w:val="0"/>
                <w:color w:val="64748B"/>
                <w:sz w:val="16"/>
              </w:rPr>
              <w:t>Events / Month</w:t>
            </w:r>
          </w:p>
          <w:p>
            <w:pPr>
              <w:jc w:val="center"/>
            </w:pPr>
            <w:r>
              <w:rPr>
                <w:rFonts w:ascii="Source Sans Pro" w:hAnsi="Source Sans Pro"/>
                <w:b/>
                <w:i w:val="0"/>
                <w:color w:val="0B3254"/>
                <w:sz w:val="32"/>
              </w:rPr>
              <w:t>109.2</w:t>
            </w:r>
          </w:p>
        </w:tc>
        <w:tc>
          <w:tcPr>
            <w:tcW w:type="dxa" w:w="2606"/>
            <w:shd w:fill="ffffff" w:val="clear"/>
          </w:tcPr>
          <w:p>
            <w:pPr>
              <w:jc w:val="center"/>
            </w:pPr>
            <w:r/>
            <w:r>
              <w:rPr>
                <w:rFonts w:ascii="Source Sans Pro" w:hAnsi="Source Sans Pro"/>
                <w:b w:val="0"/>
                <w:i w:val="0"/>
                <w:color w:val="64748B"/>
                <w:sz w:val="16"/>
              </w:rPr>
              <w:t>Motor Vehicle Events</w:t>
            </w:r>
          </w:p>
          <w:p>
            <w:pPr>
              <w:jc w:val="center"/>
            </w:pPr>
            <w:r>
              <w:rPr>
                <w:rFonts w:ascii="Source Sans Pro" w:hAnsi="Source Sans Pro"/>
                <w:b/>
                <w:i w:val="0"/>
                <w:color w:val="0B3254"/>
                <w:sz w:val="32"/>
              </w:rPr>
              <w:t>279</w:t>
            </w:r>
          </w:p>
        </w:tc>
      </w:tr>
      <w:tr>
        <w:tc>
          <w:tcPr>
            <w:tcW w:type="dxa" w:w="2606"/>
            <w:shd w:fill="f0f5fa" w:val="clear"/>
          </w:tcPr>
          <w:p>
            <w:pPr>
              <w:jc w:val="center"/>
            </w:pPr>
            <w:r/>
            <w:r>
              <w:rPr>
                <w:rFonts w:ascii="Source Sans Pro" w:hAnsi="Source Sans Pro"/>
                <w:b w:val="0"/>
                <w:i w:val="0"/>
                <w:color w:val="64748B"/>
                <w:sz w:val="16"/>
              </w:rPr>
              <w:t>LLCs</w:t>
            </w:r>
          </w:p>
          <w:p>
            <w:pPr>
              <w:jc w:val="center"/>
            </w:pPr>
            <w:r>
              <w:rPr>
                <w:rFonts w:ascii="Source Sans Pro" w:hAnsi="Source Sans Pro"/>
                <w:b/>
                <w:i w:val="0"/>
                <w:color w:val="0B3254"/>
                <w:sz w:val="32"/>
              </w:rPr>
              <w:t>5954</w:t>
            </w:r>
          </w:p>
        </w:tc>
        <w:tc>
          <w:tcPr>
            <w:tcW w:type="dxa" w:w="2606"/>
            <w:shd w:fill="ffffff" w:val="clear"/>
          </w:tcPr>
          <w:p>
            <w:pPr>
              <w:jc w:val="center"/>
            </w:pPr>
            <w:r/>
            <w:r>
              <w:rPr>
                <w:rFonts w:ascii="Source Sans Pro" w:hAnsi="Source Sans Pro"/>
                <w:b w:val="0"/>
                <w:i w:val="0"/>
                <w:color w:val="64748B"/>
                <w:sz w:val="16"/>
              </w:rPr>
              <w:t>CCCs</w:t>
            </w:r>
          </w:p>
          <w:p>
            <w:pPr>
              <w:jc w:val="center"/>
            </w:pPr>
            <w:r>
              <w:rPr>
                <w:rFonts w:ascii="Source Sans Pro" w:hAnsi="Source Sans Pro"/>
                <w:b/>
                <w:i w:val="0"/>
                <w:color w:val="0B3254"/>
                <w:sz w:val="32"/>
              </w:rPr>
              <w:t>7730</w:t>
            </w:r>
          </w:p>
        </w:tc>
        <w:tc>
          <w:tcPr>
            <w:tcW w:type="dxa" w:w="2606"/>
            <w:shd w:fill="f0f5fa" w:val="clear"/>
          </w:tcPr>
          <w:p>
            <w:pPr>
              <w:jc w:val="center"/>
            </w:pPr>
            <w:r/>
            <w:r>
              <w:rPr>
                <w:rFonts w:ascii="Source Sans Pro" w:hAnsi="Source Sans Pro"/>
                <w:b w:val="0"/>
                <w:i w:val="0"/>
                <w:color w:val="64748B"/>
                <w:sz w:val="16"/>
              </w:rPr>
              <w:t>OCCs</w:t>
            </w:r>
          </w:p>
          <w:p>
            <w:pPr>
              <w:jc w:val="center"/>
            </w:pPr>
            <w:r>
              <w:rPr>
                <w:rFonts w:ascii="Source Sans Pro" w:hAnsi="Source Sans Pro"/>
                <w:b/>
                <w:i w:val="0"/>
                <w:color w:val="0B3254"/>
                <w:sz w:val="32"/>
              </w:rPr>
              <w:t>5789</w:t>
            </w:r>
          </w:p>
        </w:tc>
        <w:tc>
          <w:tcPr>
            <w:tcW w:type="dxa" w:w="2606"/>
            <w:shd w:fill="ffffff" w:val="clear"/>
          </w:tcPr>
          <w:p>
            <w:pPr>
              <w:jc w:val="center"/>
            </w:pPr>
            <w:r/>
            <w:r>
              <w:rPr>
                <w:rFonts w:ascii="Source Sans Pro" w:hAnsi="Source Sans Pro"/>
                <w:b w:val="0"/>
                <w:i w:val="0"/>
                <w:color w:val="64748B"/>
                <w:sz w:val="16"/>
              </w:rPr>
              <w:t>CCC Avg Quality</w:t>
            </w:r>
          </w:p>
          <w:p>
            <w:pPr>
              <w:jc w:val="center"/>
            </w:pPr>
            <w:r>
              <w:rPr>
                <w:rFonts w:ascii="Source Sans Pro" w:hAnsi="Source Sans Pro"/>
                <w:b/>
                <w:i w:val="0"/>
                <w:color w:val="0B3254"/>
                <w:sz w:val="32"/>
              </w:rPr>
              <w:t>28.2</w:t>
            </w:r>
          </w:p>
        </w:tc>
      </w:tr>
    </w:tbl>
    <w:p/>
    <w:p>
      <w:pPr>
        <w:pStyle w:val="Heading2"/>
      </w:pPr>
      <w:r>
        <w:t>1.1 What Leaders Should Know</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LLC records currently show the strongest overall documentation quality among the three leading activity types.</w:t>
      </w:r>
    </w:p>
    <w:p/>
    <w:p>
      <w:pPr>
        <w:pStyle w:val="Heading2"/>
      </w:pPr>
      <w:r>
        <w:t>1.2 Board Visual Snapshot</w:t>
      </w:r>
    </w:p>
    <w:p>
      <w:r>
        <w:drawing>
          <wp:inline xmlns:a="http://schemas.openxmlformats.org/drawingml/2006/main" xmlns:pic="http://schemas.openxmlformats.org/drawingml/2006/picture">
            <wp:extent cx="5486400" cy="2410966"/>
            <wp:docPr id="1" name="Picture 1"/>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p>
      <w:r>
        <w:drawing>
          <wp:inline xmlns:a="http://schemas.openxmlformats.org/drawingml/2006/main" xmlns:pic="http://schemas.openxmlformats.org/drawingml/2006/picture">
            <wp:extent cx="5486400" cy="3861610"/>
            <wp:docPr id="2" name="Picture 2"/>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486400" cy="3861610"/>
                    </a:xfrm>
                    <a:prstGeom prst="rect"/>
                  </pic:spPr>
                </pic:pic>
              </a:graphicData>
            </a:graphic>
          </wp:inline>
        </w:drawing>
      </w:r>
    </w:p>
    <w:p/>
    <w:p>
      <w:pPr>
        <w:pStyle w:val="Heading2"/>
      </w:pPr>
      <w:r>
        <w:t>1.3 Priority Actions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Event Story</w:t>
            </w:r>
          </w:p>
          <w:p>
            <w:r>
              <w:rPr>
                <w:rFonts w:ascii="Source Sans Pro" w:hAnsi="Source Sans Pro"/>
                <w:b w:val="0"/>
                <w:i w:val="0"/>
                <w:color w:val="0B3254"/>
                <w:sz w:val="20"/>
              </w:rPr>
              <w:t>This section focuses on where event burden is building, where serious outcomes are concentrated, and what special risk signals are visible in timing and motor vehicle data.</w:t>
            </w:r>
          </w:p>
        </w:tc>
      </w:tr>
    </w:tbl>
    <w:p/>
    <w:p>
      <w:pPr>
        <w:pStyle w:val="Heading2"/>
      </w:pPr>
      <w:r>
        <w:t>3.1 Monthly Trend</w:t>
      </w:r>
    </w:p>
    <w:p>
      <w:r>
        <w:drawing>
          <wp:inline xmlns:a="http://schemas.openxmlformats.org/drawingml/2006/main" xmlns:pic="http://schemas.openxmlformats.org/drawingml/2006/picture">
            <wp:extent cx="5486400" cy="1964025"/>
            <wp:docPr id="3" name="Picture 3"/>
            <wp:cNvGraphicFramePr>
              <a:graphicFrameLocks noChangeAspect="1"/>
            </wp:cNvGraphicFramePr>
            <a:graphic>
              <a:graphicData uri="http://schemas.openxmlformats.org/drawingml/2006/picture">
                <pic:pic>
                  <pic:nvPicPr>
                    <pic:cNvPr id="0" name="ch_events_monthly.png"/>
                    <pic:cNvPicPr/>
                  </pic:nvPicPr>
                  <pic:blipFill>
                    <a:blip r:embed="rId11"/>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4" name="Picture 4"/>
            <wp:cNvGraphicFramePr>
              <a:graphicFrameLocks noChangeAspect="1"/>
            </wp:cNvGraphicFramePr>
            <a:graphic>
              <a:graphicData uri="http://schemas.openxmlformats.org/drawingml/2006/picture">
                <pic:pic>
                  <pic:nvPicPr>
                    <pic:cNvPr id="0" name="ch_consequence.png"/>
                    <pic:cNvPicPr/>
                  </pic:nvPicPr>
                  <pic:blipFill>
                    <a:blip r:embed="rId12"/>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p>
      <w:r>
        <w:drawing>
          <wp:inline xmlns:a="http://schemas.openxmlformats.org/drawingml/2006/main" xmlns:pic="http://schemas.openxmlformats.org/drawingml/2006/picture">
            <wp:extent cx="5303520" cy="2615344"/>
            <wp:docPr id="5" name="Picture 5"/>
            <wp:cNvGraphicFramePr>
              <a:graphicFrameLocks noChangeAspect="1"/>
            </wp:cNvGraphicFramePr>
            <a:graphic>
              <a:graphicData uri="http://schemas.openxmlformats.org/drawingml/2006/picture">
                <pic:pic>
                  <pic:nvPicPr>
                    <pic:cNvPr id="0" name="ch_serious_hotspots.png"/>
                    <pic:cNvPicPr/>
                  </pic:nvPicPr>
                  <pic:blipFill>
                    <a:blip r:embed="rId13"/>
                    <a:stretch>
                      <a:fillRect/>
                    </a:stretch>
                  </pic:blipFill>
                  <pic:spPr>
                    <a:xfrm>
                      <a:off x="0" y="0"/>
                      <a:ext cx="5303520" cy="2615344"/>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3475"/>
        <w:gridCol w:w="3475"/>
        <w:gridCol w:w="3475"/>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Leading Activity Readout</w:t>
            </w:r>
          </w:p>
          <w:p>
            <w:r>
              <w:rPr>
                <w:rFonts w:ascii="Source Sans Pro" w:hAnsi="Source Sans Pro"/>
                <w:b w:val="0"/>
                <w:i w:val="0"/>
                <w:color w:val="0B3254"/>
                <w:sz w:val="20"/>
              </w:rPr>
              <w:t>Safety Energy combines LLC, CCC, and OCC activity. The deeper two-year review is designed to show not just volume, but whether the records look rich, preventive, and useful for leadership learning.</w:t>
            </w:r>
          </w:p>
        </w:tc>
      </w:tr>
    </w:tbl>
    <w:p/>
    <w:p>
      <w:pPr>
        <w:pStyle w:val="Heading2"/>
      </w:pPr>
      <w:r>
        <w:t>4.1 Activity Type Mix</w:t>
      </w:r>
    </w:p>
    <w:p>
      <w:r>
        <w:drawing>
          <wp:inline xmlns:a="http://schemas.openxmlformats.org/drawingml/2006/main" xmlns:pic="http://schemas.openxmlformats.org/drawingml/2006/picture">
            <wp:extent cx="4114800" cy="4370030"/>
            <wp:docPr id="6" name="Picture 6"/>
            <wp:cNvGraphicFramePr>
              <a:graphicFrameLocks noChangeAspect="1"/>
            </wp:cNvGraphicFramePr>
            <a:graphic>
              <a:graphicData uri="http://schemas.openxmlformats.org/drawingml/2006/picture">
                <pic:pic>
                  <pic:nvPicPr>
                    <pic:cNvPr id="0" name="ch_activity_mix.png"/>
                    <pic:cNvPicPr/>
                  </pic:nvPicPr>
                  <pic:blipFill>
                    <a:blip r:embed="rId14"/>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7" name="Picture 7"/>
            <wp:cNvGraphicFramePr>
              <a:graphicFrameLocks noChangeAspect="1"/>
            </wp:cNvGraphicFramePr>
            <a:graphic>
              <a:graphicData uri="http://schemas.openxmlformats.org/drawingml/2006/picture">
                <pic:pic>
                  <pic:nvPicPr>
                    <pic:cNvPr id="0" name="ch_leading_monthly.png"/>
                    <pic:cNvPicPr/>
                  </pic:nvPicPr>
                  <pic:blipFill>
                    <a:blip r:embed="rId15"/>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8" name="Picture 8"/>
            <wp:cNvGraphicFramePr>
              <a:graphicFrameLocks noChangeAspect="1"/>
            </wp:cNvGraphicFramePr>
            <a:graphic>
              <a:graphicData uri="http://schemas.openxmlformats.org/drawingml/2006/picture">
                <pic:pic>
                  <pic:nvPicPr>
                    <pic:cNvPr id="0" name="ch_llc_topics.png"/>
                    <pic:cNvPicPr/>
                  </pic:nvPicPr>
                  <pic:blipFill>
                    <a:blip r:embed="rId16"/>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9" name="Picture 9"/>
            <wp:cNvGraphicFramePr>
              <a:graphicFrameLocks noChangeAspect="1"/>
            </wp:cNvGraphicFramePr>
            <a:graphic>
              <a:graphicData uri="http://schemas.openxmlformats.org/drawingml/2006/picture">
                <pic:pic>
                  <pic:nvPicPr>
                    <pic:cNvPr id="0" name="ch_crp_focus.png"/>
                    <pic:cNvPicPr/>
                  </pic:nvPicPr>
                  <pic:blipFill>
                    <a:blip r:embed="rId17"/>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10" name="Picture 10"/>
            <wp:cNvGraphicFramePr>
              <a:graphicFrameLocks noChangeAspect="1"/>
            </wp:cNvGraphicFramePr>
            <a:graphic>
              <a:graphicData uri="http://schemas.openxmlformats.org/drawingml/2006/picture">
                <pic:pic>
                  <pic:nvPicPr>
                    <pic:cNvPr id="0" name="ch_top_leaders.png"/>
                    <pic:cNvPicPr/>
                  </pic:nvPicPr>
                  <pic:blipFill>
                    <a:blip r:embed="rId18"/>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input depth across useful fields,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11" name="Picture 11"/>
            <wp:cNvGraphicFramePr>
              <a:graphicFrameLocks noChangeAspect="1"/>
            </wp:cNvGraphicFramePr>
            <a:graphic>
              <a:graphicData uri="http://schemas.openxmlformats.org/drawingml/2006/picture">
                <pic:pic>
                  <pic:nvPicPr>
                    <pic:cNvPr id="0" name="ch_quality_trend.png"/>
                    <pic:cNvPicPr/>
                  </pic:nvPicPr>
                  <pic:blipFill>
                    <a:blip r:embed="rId19"/>
                    <a:stretch>
                      <a:fillRect/>
                    </a:stretch>
                  </pic:blipFill>
                  <pic:spPr>
                    <a:xfrm>
                      <a:off x="0" y="0"/>
                      <a:ext cx="5486400" cy="1967826"/>
                    </a:xfrm>
                    <a:prstGeom prst="rect"/>
                  </pic:spPr>
                </pic:pic>
              </a:graphicData>
            </a:graphic>
          </wp:inline>
        </w:drawing>
      </w:r>
    </w:p>
    <w:p/>
    <w:p>
      <w:r>
        <w:drawing>
          <wp:inline xmlns:a="http://schemas.openxmlformats.org/drawingml/2006/main" xmlns:pic="http://schemas.openxmlformats.org/drawingml/2006/picture">
            <wp:extent cx="5486400" cy="2410966"/>
            <wp:docPr id="12" name="Picture 12"/>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tbl>
      <w:tblPr>
        <w:tblStyle w:val="TableGrid"/>
        <w:tblW w:type="auto" w:w="0"/>
        <w:jc w:val="left"/>
        <w:tblLook w:firstColumn="1" w:firstRow="1" w:lastColumn="0" w:lastRow="0" w:noHBand="0" w:noVBand="1" w:val="04A0"/>
      </w:tblPr>
      <w:tblGrid>
        <w:gridCol w:w="1303"/>
        <w:gridCol w:w="1303"/>
        <w:gridCol w:w="1303"/>
        <w:gridCol w:w="1303"/>
        <w:gridCol w:w="1303"/>
        <w:gridCol w:w="1303"/>
        <w:gridCol w:w="1303"/>
        <w:gridCol w:w="1303"/>
      </w:tblGrid>
      <w:tr>
        <w:tc>
          <w:tcPr>
            <w:tcW w:type="dxa" w:w="1152"/>
            <w:shd w:fill="0b3254" w:val="clear"/>
          </w:tcPr>
          <w:p>
            <w:r/>
            <w:r>
              <w:rPr>
                <w:rFonts w:ascii="Source Sans Pro" w:hAnsi="Source Sans Pro"/>
                <w:b/>
                <w:color w:val="FFFFFF"/>
                <w:sz w:val="18"/>
              </w:rPr>
              <w:t>Type</w:t>
            </w:r>
          </w:p>
        </w:tc>
        <w:tc>
          <w:tcPr>
            <w:tcW w:type="dxa" w:w="1152"/>
            <w:shd w:fill="0b3254" w:val="clear"/>
          </w:tcPr>
          <w:p>
            <w:r/>
            <w:r>
              <w:rPr>
                <w:rFonts w:ascii="Source Sans Pro" w:hAnsi="Source Sans Pro"/>
                <w:b/>
                <w:color w:val="FFFFFF"/>
                <w:sz w:val="18"/>
              </w:rPr>
              <w:t>Count</w:t>
            </w:r>
          </w:p>
        </w:tc>
        <w:tc>
          <w:tcPr>
            <w:tcW w:type="dxa" w:w="1296"/>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c>
          <w:tcPr>
            <w:tcW w:type="dxa" w:w="1296"/>
            <w:shd w:fill="0b3254" w:val="clear"/>
          </w:tcPr>
          <w:p>
            <w:r/>
            <w:r>
              <w:rPr>
                <w:rFonts w:ascii="Source Sans Pro" w:hAnsi="Source Sans Pro"/>
                <w:b/>
                <w:color w:val="FFFFFF"/>
                <w:sz w:val="18"/>
              </w:rPr>
              <w:t>Follow-up</w:t>
            </w:r>
          </w:p>
        </w:tc>
      </w:tr>
      <w:tr>
        <w:tc>
          <w:tcPr>
            <w:tcW w:type="dxa" w:w="1152"/>
            <w:shd w:fill="f0f5fa" w:val="clear"/>
          </w:tcPr>
          <w:p>
            <w:r/>
            <w:r>
              <w:rPr>
                <w:rFonts w:ascii="Source Sans Pro" w:hAnsi="Source Sans Pro"/>
                <w:sz w:val="18"/>
              </w:rPr>
              <w:t>LLC</w:t>
            </w:r>
          </w:p>
        </w:tc>
        <w:tc>
          <w:tcPr>
            <w:tcW w:type="dxa" w:w="1152"/>
            <w:shd w:fill="f0f5fa" w:val="clear"/>
          </w:tcPr>
          <w:p>
            <w:r/>
            <w:r>
              <w:rPr>
                <w:rFonts w:ascii="Source Sans Pro" w:hAnsi="Source Sans Pro"/>
                <w:sz w:val="18"/>
              </w:rPr>
              <w:t>5954</w:t>
            </w:r>
          </w:p>
        </w:tc>
        <w:tc>
          <w:tcPr>
            <w:tcW w:type="dxa" w:w="1296"/>
            <w:shd w:fill="f0f5fa" w:val="clear"/>
          </w:tcPr>
          <w:p>
            <w:r/>
            <w:r>
              <w:rPr>
                <w:rFonts w:ascii="Source Sans Pro" w:hAnsi="Source Sans Pro"/>
                <w:sz w:val="18"/>
              </w:rPr>
              <w:t>58.2</w:t>
            </w:r>
          </w:p>
        </w:tc>
        <w:tc>
          <w:tcPr>
            <w:tcW w:type="dxa" w:w="1440"/>
            <w:shd w:fill="f0f5fa" w:val="clear"/>
          </w:tcPr>
          <w:p>
            <w:r/>
            <w:r>
              <w:rPr>
                <w:rFonts w:ascii="Source Sans Pro" w:hAnsi="Source Sans Pro"/>
                <w:sz w:val="18"/>
              </w:rPr>
              <w:t>55.9</w:t>
            </w:r>
          </w:p>
        </w:tc>
        <w:tc>
          <w:tcPr>
            <w:tcW w:type="dxa" w:w="1296"/>
            <w:shd w:fill="f0f5fa" w:val="clear"/>
          </w:tcPr>
          <w:p>
            <w:r/>
            <w:r>
              <w:rPr>
                <w:rFonts w:ascii="Source Sans Pro" w:hAnsi="Source Sans Pro"/>
                <w:sz w:val="18"/>
              </w:rPr>
              <w:t>61.5%</w:t>
            </w:r>
          </w:p>
        </w:tc>
        <w:tc>
          <w:tcPr>
            <w:tcW w:type="dxa" w:w="1296"/>
            <w:shd w:fill="f0f5fa" w:val="clear"/>
          </w:tcPr>
          <w:p>
            <w:r/>
            <w:r>
              <w:rPr>
                <w:rFonts w:ascii="Source Sans Pro" w:hAnsi="Source Sans Pro"/>
                <w:sz w:val="18"/>
              </w:rPr>
              <w:t>19.8%</w:t>
            </w:r>
          </w:p>
        </w:tc>
        <w:tc>
          <w:tcPr>
            <w:tcW w:type="dxa" w:w="1296"/>
            <w:shd w:fill="f0f5fa" w:val="clear"/>
          </w:tcPr>
          <w:p>
            <w:r/>
            <w:r>
              <w:rPr>
                <w:rFonts w:ascii="Source Sans Pro" w:hAnsi="Source Sans Pro"/>
                <w:sz w:val="18"/>
              </w:rPr>
              <w:t>2.8%</w:t>
            </w:r>
          </w:p>
        </w:tc>
        <w:tc>
          <w:tcPr>
            <w:tcW w:type="dxa" w:w="1296"/>
            <w:shd w:fill="f0f5fa" w:val="clear"/>
          </w:tcPr>
          <w:p>
            <w:r/>
            <w:r>
              <w:rPr>
                <w:rFonts w:ascii="Source Sans Pro" w:hAnsi="Source Sans Pro"/>
                <w:sz w:val="18"/>
              </w:rPr>
              <w:t>42.2%</w:t>
            </w:r>
          </w:p>
        </w:tc>
      </w:tr>
      <w:tr>
        <w:tc>
          <w:tcPr>
            <w:tcW w:type="dxa" w:w="1152"/>
            <w:shd w:fill="ffffff" w:val="clear"/>
          </w:tcPr>
          <w:p>
            <w:r/>
            <w:r>
              <w:rPr>
                <w:rFonts w:ascii="Source Sans Pro" w:hAnsi="Source Sans Pro"/>
                <w:sz w:val="18"/>
              </w:rPr>
              <w:t>CCC</w:t>
            </w:r>
          </w:p>
        </w:tc>
        <w:tc>
          <w:tcPr>
            <w:tcW w:type="dxa" w:w="1152"/>
            <w:shd w:fill="ffffff" w:val="clear"/>
          </w:tcPr>
          <w:p>
            <w:r/>
            <w:r>
              <w:rPr>
                <w:rFonts w:ascii="Source Sans Pro" w:hAnsi="Source Sans Pro"/>
                <w:sz w:val="18"/>
              </w:rPr>
              <w:t>7730</w:t>
            </w:r>
          </w:p>
        </w:tc>
        <w:tc>
          <w:tcPr>
            <w:tcW w:type="dxa" w:w="1296"/>
            <w:shd w:fill="ffffff" w:val="clear"/>
          </w:tcPr>
          <w:p>
            <w:r/>
            <w:r>
              <w:rPr>
                <w:rFonts w:ascii="Source Sans Pro" w:hAnsi="Source Sans Pro"/>
                <w:sz w:val="18"/>
              </w:rPr>
              <w:t>28.2</w:t>
            </w:r>
          </w:p>
        </w:tc>
        <w:tc>
          <w:tcPr>
            <w:tcW w:type="dxa" w:w="1440"/>
            <w:shd w:fill="ffffff" w:val="clear"/>
          </w:tcPr>
          <w:p>
            <w:r/>
            <w:r>
              <w:rPr>
                <w:rFonts w:ascii="Source Sans Pro" w:hAnsi="Source Sans Pro"/>
                <w:sz w:val="18"/>
              </w:rPr>
              <w:t>40.2</w:t>
            </w:r>
          </w:p>
        </w:tc>
        <w:tc>
          <w:tcPr>
            <w:tcW w:type="dxa" w:w="1296"/>
            <w:shd w:fill="ffffff" w:val="clear"/>
          </w:tcPr>
          <w:p>
            <w:r/>
            <w:r>
              <w:rPr>
                <w:rFonts w:ascii="Source Sans Pro" w:hAnsi="Source Sans Pro"/>
                <w:sz w:val="18"/>
              </w:rPr>
              <w:t>6.5%</w:t>
            </w:r>
          </w:p>
        </w:tc>
        <w:tc>
          <w:tcPr>
            <w:tcW w:type="dxa" w:w="1296"/>
            <w:shd w:fill="ffffff" w:val="clear"/>
          </w:tcPr>
          <w:p>
            <w:r/>
            <w:r>
              <w:rPr>
                <w:rFonts w:ascii="Source Sans Pro" w:hAnsi="Source Sans Pro"/>
                <w:sz w:val="18"/>
              </w:rPr>
              <w:t>1.4%</w:t>
            </w:r>
          </w:p>
        </w:tc>
        <w:tc>
          <w:tcPr>
            <w:tcW w:type="dxa" w:w="1296"/>
            <w:shd w:fill="ffffff" w:val="clear"/>
          </w:tcPr>
          <w:p>
            <w:r/>
            <w:r>
              <w:rPr>
                <w:rFonts w:ascii="Source Sans Pro" w:hAnsi="Source Sans Pro"/>
                <w:sz w:val="18"/>
              </w:rPr>
              <w:t>68.3%</w:t>
            </w:r>
          </w:p>
        </w:tc>
        <w:tc>
          <w:tcPr>
            <w:tcW w:type="dxa" w:w="1296"/>
            <w:shd w:fill="ffffff" w:val="clear"/>
          </w:tcPr>
          <w:p>
            <w:r/>
            <w:r>
              <w:rPr>
                <w:rFonts w:ascii="Source Sans Pro" w:hAnsi="Source Sans Pro"/>
                <w:sz w:val="18"/>
              </w:rPr>
              <w:t>16.4%</w:t>
            </w:r>
          </w:p>
        </w:tc>
      </w:tr>
      <w:tr>
        <w:tc>
          <w:tcPr>
            <w:tcW w:type="dxa" w:w="1152"/>
            <w:shd w:fill="f0f5fa" w:val="clear"/>
          </w:tcPr>
          <w:p>
            <w:r/>
            <w:r>
              <w:rPr>
                <w:rFonts w:ascii="Source Sans Pro" w:hAnsi="Source Sans Pro"/>
                <w:sz w:val="18"/>
              </w:rPr>
              <w:t>OCC</w:t>
            </w:r>
          </w:p>
        </w:tc>
        <w:tc>
          <w:tcPr>
            <w:tcW w:type="dxa" w:w="1152"/>
            <w:shd w:fill="f0f5fa" w:val="clear"/>
          </w:tcPr>
          <w:p>
            <w:r/>
            <w:r>
              <w:rPr>
                <w:rFonts w:ascii="Source Sans Pro" w:hAnsi="Source Sans Pro"/>
                <w:sz w:val="18"/>
              </w:rPr>
              <w:t>5789</w:t>
            </w:r>
          </w:p>
        </w:tc>
        <w:tc>
          <w:tcPr>
            <w:tcW w:type="dxa" w:w="1296"/>
            <w:shd w:fill="f0f5fa" w:val="clear"/>
          </w:tcPr>
          <w:p>
            <w:r/>
            <w:r>
              <w:rPr>
                <w:rFonts w:ascii="Source Sans Pro" w:hAnsi="Source Sans Pro"/>
                <w:sz w:val="18"/>
              </w:rPr>
              <w:t>10.4</w:t>
            </w:r>
          </w:p>
        </w:tc>
        <w:tc>
          <w:tcPr>
            <w:tcW w:type="dxa" w:w="1440"/>
            <w:shd w:fill="f0f5fa" w:val="clear"/>
          </w:tcPr>
          <w:p>
            <w:r/>
            <w:r>
              <w:rPr>
                <w:rFonts w:ascii="Source Sans Pro" w:hAnsi="Source Sans Pro"/>
                <w:sz w:val="18"/>
              </w:rPr>
              <w:t>34.3</w:t>
            </w:r>
          </w:p>
        </w:tc>
        <w:tc>
          <w:tcPr>
            <w:tcW w:type="dxa" w:w="1296"/>
            <w:shd w:fill="f0f5fa" w:val="clear"/>
          </w:tcPr>
          <w:p>
            <w:r/>
            <w:r>
              <w:rPr>
                <w:rFonts w:ascii="Source Sans Pro" w:hAnsi="Source Sans Pro"/>
                <w:sz w:val="18"/>
              </w:rPr>
              <w:t>1.5%</w:t>
            </w:r>
          </w:p>
        </w:tc>
        <w:tc>
          <w:tcPr>
            <w:tcW w:type="dxa" w:w="1296"/>
            <w:shd w:fill="f0f5fa" w:val="clear"/>
          </w:tcPr>
          <w:p>
            <w:r/>
            <w:r>
              <w:rPr>
                <w:rFonts w:ascii="Source Sans Pro" w:hAnsi="Source Sans Pro"/>
                <w:sz w:val="18"/>
              </w:rPr>
              <w:t>0.3%</w:t>
            </w:r>
          </w:p>
        </w:tc>
        <w:tc>
          <w:tcPr>
            <w:tcW w:type="dxa" w:w="1296"/>
            <w:shd w:fill="f0f5fa" w:val="clear"/>
          </w:tcPr>
          <w:p>
            <w:r/>
            <w:r>
              <w:rPr>
                <w:rFonts w:ascii="Source Sans Pro" w:hAnsi="Source Sans Pro"/>
                <w:sz w:val="18"/>
              </w:rPr>
              <w:t>91.9%</w:t>
            </w:r>
          </w:p>
        </w:tc>
        <w:tc>
          <w:tcPr>
            <w:tcW w:type="dxa" w:w="1296"/>
            <w:shd w:fill="f0f5fa" w:val="clear"/>
          </w:tcPr>
          <w:p>
            <w:r/>
            <w:r>
              <w:rPr>
                <w:rFonts w:ascii="Source Sans Pro" w:hAnsi="Source Sans Pro"/>
                <w:sz w:val="18"/>
              </w:rPr>
              <w:t>10.0%</w:t>
            </w:r>
          </w:p>
        </w:tc>
      </w:tr>
    </w:tbl>
    <w:p/>
    <w:p>
      <w:pPr>
        <w:pStyle w:val="Heading2"/>
      </w:pPr>
      <w:r>
        <w:t>4.8 Input Depth as a Supporting Quality Metric</w:t>
      </w:r>
    </w:p>
    <w:p>
      <w:r>
        <w:rPr>
          <w:rFonts w:ascii="Source Sans Pro" w:hAnsi="Source Sans Pro"/>
          <w:b w:val="0"/>
          <w:i w:val="0"/>
          <w:color w:val="0B3254"/>
          <w:sz w:val="22"/>
        </w:rPr>
        <w:t>Across the two-year Safety Energy window, input depth and quality score are correlated at r = 0.82. Input depth appears usable as a supporting quality metric.</w:t>
      </w:r>
    </w:p>
    <w:tbl>
      <w:tblPr>
        <w:tblStyle w:val="TableGrid"/>
        <w:tblW w:type="auto" w:w="0"/>
        <w:jc w:val="left"/>
        <w:tblLook w:firstColumn="1" w:firstRow="1" w:lastColumn="0" w:lastRow="0" w:noHBand="0" w:noVBand="1" w:val="04A0"/>
      </w:tblPr>
      <w:tblGrid>
        <w:gridCol w:w="1489"/>
        <w:gridCol w:w="1489"/>
        <w:gridCol w:w="1489"/>
        <w:gridCol w:w="1489"/>
        <w:gridCol w:w="1489"/>
        <w:gridCol w:w="1489"/>
        <w:gridCol w:w="1489"/>
      </w:tblGrid>
      <w:tr>
        <w:tc>
          <w:tcPr>
            <w:tcW w:type="dxa" w:w="1296"/>
            <w:shd w:fill="0b3254" w:val="clear"/>
          </w:tcPr>
          <w:p>
            <w:r/>
            <w:r>
              <w:rPr>
                <w:rFonts w:ascii="Source Sans Pro" w:hAnsi="Source Sans Pro"/>
                <w:b/>
                <w:color w:val="FFFFFF"/>
                <w:sz w:val="18"/>
              </w:rPr>
              <w:t>Band</w:t>
            </w:r>
          </w:p>
        </w:tc>
        <w:tc>
          <w:tcPr>
            <w:tcW w:type="dxa" w:w="1152"/>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Avg Quality</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Light</w:t>
            </w:r>
          </w:p>
        </w:tc>
        <w:tc>
          <w:tcPr>
            <w:tcW w:type="dxa" w:w="1152"/>
            <w:shd w:fill="f0f5fa" w:val="clear"/>
          </w:tcPr>
          <w:p>
            <w:r/>
            <w:r>
              <w:rPr>
                <w:rFonts w:ascii="Source Sans Pro" w:hAnsi="Source Sans Pro"/>
                <w:sz w:val="18"/>
              </w:rPr>
              <w:t>7266</w:t>
            </w:r>
          </w:p>
        </w:tc>
        <w:tc>
          <w:tcPr>
            <w:tcW w:type="dxa" w:w="1440"/>
            <w:shd w:fill="f0f5fa" w:val="clear"/>
          </w:tcPr>
          <w:p>
            <w:r/>
            <w:r>
              <w:rPr>
                <w:rFonts w:ascii="Source Sans Pro" w:hAnsi="Source Sans Pro"/>
                <w:sz w:val="18"/>
              </w:rPr>
              <w:t>33.3</w:t>
            </w:r>
          </w:p>
        </w:tc>
        <w:tc>
          <w:tcPr>
            <w:tcW w:type="dxa" w:w="1296"/>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0.8%</w:t>
            </w:r>
          </w:p>
        </w:tc>
        <w:tc>
          <w:tcPr>
            <w:tcW w:type="dxa" w:w="1296"/>
            <w:shd w:fill="f0f5fa" w:val="clear"/>
          </w:tcPr>
          <w:p>
            <w:r/>
            <w:r>
              <w:rPr>
                <w:rFonts w:ascii="Source Sans Pro" w:hAnsi="Source Sans Pro"/>
                <w:sz w:val="18"/>
              </w:rPr>
              <w:t>0.1%</w:t>
            </w:r>
          </w:p>
        </w:tc>
        <w:tc>
          <w:tcPr>
            <w:tcW w:type="dxa" w:w="1296"/>
            <w:shd w:fill="f0f5fa" w:val="clear"/>
          </w:tcPr>
          <w:p>
            <w:r/>
            <w:r>
              <w:rPr>
                <w:rFonts w:ascii="Source Sans Pro" w:hAnsi="Source Sans Pro"/>
                <w:sz w:val="18"/>
              </w:rPr>
              <w:t>92.9%</w:t>
            </w:r>
          </w:p>
        </w:tc>
      </w:tr>
      <w:tr>
        <w:tc>
          <w:tcPr>
            <w:tcW w:type="dxa" w:w="1296"/>
            <w:shd w:fill="ffffff" w:val="clear"/>
          </w:tcPr>
          <w:p>
            <w:r/>
            <w:r>
              <w:rPr>
                <w:rFonts w:ascii="Source Sans Pro" w:hAnsi="Source Sans Pro"/>
                <w:sz w:val="18"/>
              </w:rPr>
              <w:t>Balanced</w:t>
            </w:r>
          </w:p>
        </w:tc>
        <w:tc>
          <w:tcPr>
            <w:tcW w:type="dxa" w:w="1152"/>
            <w:shd w:fill="ffffff" w:val="clear"/>
          </w:tcPr>
          <w:p>
            <w:r/>
            <w:r>
              <w:rPr>
                <w:rFonts w:ascii="Source Sans Pro" w:hAnsi="Source Sans Pro"/>
                <w:sz w:val="18"/>
              </w:rPr>
              <w:t>9867</w:t>
            </w:r>
          </w:p>
        </w:tc>
        <w:tc>
          <w:tcPr>
            <w:tcW w:type="dxa" w:w="1440"/>
            <w:shd w:fill="ffffff" w:val="clear"/>
          </w:tcPr>
          <w:p>
            <w:r/>
            <w:r>
              <w:rPr>
                <w:rFonts w:ascii="Source Sans Pro" w:hAnsi="Source Sans Pro"/>
                <w:sz w:val="18"/>
              </w:rPr>
              <w:t>45.6</w:t>
            </w:r>
          </w:p>
        </w:tc>
        <w:tc>
          <w:tcPr>
            <w:tcW w:type="dxa" w:w="1296"/>
            <w:shd w:fill="ffffff" w:val="clear"/>
          </w:tcPr>
          <w:p>
            <w:r/>
            <w:r>
              <w:rPr>
                <w:rFonts w:ascii="Source Sans Pro" w:hAnsi="Source Sans Pro"/>
                <w:sz w:val="18"/>
              </w:rPr>
              <w:t>41.2</w:t>
            </w:r>
          </w:p>
        </w:tc>
        <w:tc>
          <w:tcPr>
            <w:tcW w:type="dxa" w:w="1296"/>
            <w:shd w:fill="ffffff" w:val="clear"/>
          </w:tcPr>
          <w:p>
            <w:r/>
            <w:r>
              <w:rPr>
                <w:rFonts w:ascii="Source Sans Pro" w:hAnsi="Source Sans Pro"/>
                <w:sz w:val="18"/>
              </w:rPr>
              <w:t>26.6%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40.4%</w:t>
            </w:r>
          </w:p>
        </w:tc>
      </w:tr>
      <w:tr>
        <w:tc>
          <w:tcPr>
            <w:tcW w:type="dxa" w:w="1296"/>
            <w:shd w:fill="f0f5fa" w:val="clear"/>
          </w:tcPr>
          <w:p>
            <w:r/>
            <w:r>
              <w:rPr>
                <w:rFonts w:ascii="Source Sans Pro" w:hAnsi="Source Sans Pro"/>
                <w:sz w:val="18"/>
              </w:rPr>
              <w:t>Rich</w:t>
            </w:r>
          </w:p>
        </w:tc>
        <w:tc>
          <w:tcPr>
            <w:tcW w:type="dxa" w:w="1152"/>
            <w:shd w:fill="f0f5fa" w:val="clear"/>
          </w:tcPr>
          <w:p>
            <w:r/>
            <w:r>
              <w:rPr>
                <w:rFonts w:ascii="Source Sans Pro" w:hAnsi="Source Sans Pro"/>
                <w:sz w:val="18"/>
              </w:rPr>
              <w:t>2340</w:t>
            </w:r>
          </w:p>
        </w:tc>
        <w:tc>
          <w:tcPr>
            <w:tcW w:type="dxa" w:w="1440"/>
            <w:shd w:fill="f0f5fa" w:val="clear"/>
          </w:tcPr>
          <w:p>
            <w:r/>
            <w:r>
              <w:rPr>
                <w:rFonts w:ascii="Source Sans Pro" w:hAnsi="Source Sans Pro"/>
                <w:sz w:val="18"/>
              </w:rPr>
              <w:t>64.0</w:t>
            </w:r>
          </w:p>
        </w:tc>
        <w:tc>
          <w:tcPr>
            <w:tcW w:type="dxa" w:w="1296"/>
            <w:shd w:fill="f0f5fa" w:val="clear"/>
          </w:tcPr>
          <w:p>
            <w:r/>
            <w:r>
              <w:rPr>
                <w:rFonts w:ascii="Source Sans Pro" w:hAnsi="Source Sans Pro"/>
                <w:sz w:val="18"/>
              </w:rPr>
              <w:t>60.3</w:t>
            </w:r>
          </w:p>
        </w:tc>
        <w:tc>
          <w:tcPr>
            <w:tcW w:type="dxa" w:w="1296"/>
            <w:shd w:fill="f0f5fa" w:val="clear"/>
          </w:tcPr>
          <w:p>
            <w:r/>
            <w:r>
              <w:rPr>
                <w:rFonts w:ascii="Source Sans Pro" w:hAnsi="Source Sans Pro"/>
                <w:sz w:val="18"/>
              </w:rPr>
              <w:t>66.9%</w:t>
            </w:r>
          </w:p>
        </w:tc>
        <w:tc>
          <w:tcPr>
            <w:tcW w:type="dxa" w:w="1296"/>
            <w:shd w:fill="f0f5fa" w:val="clear"/>
          </w:tcPr>
          <w:p>
            <w:r/>
            <w:r>
              <w:rPr>
                <w:rFonts w:ascii="Source Sans Pro" w:hAnsi="Source Sans Pro"/>
                <w:sz w:val="18"/>
              </w:rPr>
              <w:t>24.9%</w:t>
            </w:r>
          </w:p>
        </w:tc>
        <w:tc>
          <w:tcPr>
            <w:tcW w:type="dxa" w:w="1296"/>
            <w:shd w:fill="f0f5fa" w:val="clear"/>
          </w:tcPr>
          <w:p>
            <w:r/>
            <w:r>
              <w:rPr>
                <w:rFonts w:ascii="Source Sans Pro" w:hAnsi="Source Sans Pro"/>
                <w:sz w:val="18"/>
              </w:rPr>
              <w:t>1.2%</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4.9 CCC / OCCC / LLC Value Signals</w:t>
      </w:r>
    </w:p>
    <w:p>
      <w:r>
        <w:rPr>
          <w:rFonts w:ascii="Source Sans Pro" w:hAnsi="Source Sans Pro"/>
          <w:b w:val="0"/>
          <w:i w:val="0"/>
          <w:color w:val="0B3254"/>
          <w:sz w:val="22"/>
        </w:rPr>
        <w:t>CCC: average quality 28.2/100, average input depth 40.2/100, 28.3% preventive signal, 8.8% reactive signal, 19.1% repetitive signal, 68.3% shallow.</w:t>
      </w:r>
    </w:p>
    <w:p>
      <w:r>
        <w:rPr>
          <w:rFonts w:ascii="Source Sans Pro" w:hAnsi="Source Sans Pro"/>
          <w:b w:val="0"/>
          <w:i w:val="0"/>
          <w:color w:val="64748B"/>
          <w:sz w:val="20"/>
        </w:rPr>
        <w:t>For CCC, input depth vs quality correlation is r = 0.75.</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average input depth 34.3/100, 7.3% preventive signal, 4.9% reactive signal, 23.4% repetitive signal, 91.9% shallow.</w:t>
      </w:r>
    </w:p>
    <w:p>
      <w:r>
        <w:rPr>
          <w:rFonts w:ascii="Source Sans Pro" w:hAnsi="Source Sans Pro"/>
          <w:b w:val="0"/>
          <w:i w:val="0"/>
          <w:color w:val="64748B"/>
          <w:sz w:val="20"/>
        </w:rPr>
        <w:t>For OCC, input depth vs quality correlation is r = 0.66.</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average input depth 55.9/100, 75.7% preventive signal, 12.3% reactive signal, 0.5% repetitive signal, 2.8% shallow.</w:t>
      </w:r>
    </w:p>
    <w:p>
      <w:r>
        <w:rPr>
          <w:rFonts w:ascii="Source Sans Pro" w:hAnsi="Source Sans Pro"/>
          <w:b w:val="0"/>
          <w:i w:val="0"/>
          <w:color w:val="64748B"/>
          <w:sz w:val="20"/>
        </w:rPr>
        <w:t>For LLC, input depth vs quality correlation is r = 0.30.</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13" name="Picture 13"/>
            <wp:cNvGraphicFramePr>
              <a:graphicFrameLocks noChangeAspect="1"/>
            </wp:cNvGraphicFramePr>
            <a:graphic>
              <a:graphicData uri="http://schemas.openxmlformats.org/drawingml/2006/picture">
                <pic:pic>
                  <pic:nvPicPr>
                    <pic:cNvPr id="0" name="ch_overlay.png"/>
                    <pic:cNvPicPr/>
                  </pic:nvPicPr>
                  <pic:blipFill>
                    <a:blip r:embed="rId20"/>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4" name="Picture 14"/>
            <wp:cNvGraphicFramePr>
              <a:graphicFrameLocks noChangeAspect="1"/>
            </wp:cNvGraphicFramePr>
            <a:graphic>
              <a:graphicData uri="http://schemas.openxmlformats.org/drawingml/2006/picture">
                <pic:pic>
                  <pic:nvPicPr>
                    <pic:cNvPr id="0" name="ch_bu_comparison.png"/>
                    <pic:cNvPicPr/>
                  </pic:nvPicPr>
                  <pic:blipFill>
                    <a:blip r:embed="rId21"/>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5" name="Picture 15"/>
            <wp:cNvGraphicFramePr>
              <a:graphicFrameLocks noChangeAspect="1"/>
            </wp:cNvGraphicFramePr>
            <a:graphic>
              <a:graphicData uri="http://schemas.openxmlformats.org/drawingml/2006/picture">
                <pic:pic>
                  <pic:nvPicPr>
                    <pic:cNvPr id="0" name="ch_at_risk_themes.png"/>
                    <pic:cNvPicPr/>
                  </pic:nvPicPr>
                  <pic:blipFill>
                    <a:blip r:embed="rId22"/>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Slips/Trips/Falls</w:t>
      </w:r>
    </w:p>
    <w:p>
      <w:pPr>
        <w:pStyle w:val="ListBullet"/>
      </w:pPr>
      <w:r>
        <w:rPr>
          <w:rFonts w:ascii="Source Sans Pro" w:hAnsi="Source Sans Pro"/>
          <w:b w:val="0"/>
          <w:i w:val="0"/>
          <w:color w:val="0B3254"/>
          <w:sz w:val="22"/>
        </w:rPr>
        <w:t>Fatigue</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Coverage vs Outcome</w:t>
            </w:r>
          </w:p>
          <w:p>
            <w:r>
              <w:rPr>
                <w:rFonts w:ascii="Source Sans Pro" w:hAnsi="Source Sans Pro"/>
                <w:b w:val="0"/>
                <w:i w:val="0"/>
                <w:color w:val="0B3254"/>
                <w:sz w:val="20"/>
              </w:rPr>
              <w:t>This section links leading activity coverage to event burden so leaders can see which business units, projects, and locations appear strongest, and which need direct intervention.</w:t>
            </w:r>
          </w:p>
        </w:tc>
      </w:tr>
    </w:tbl>
    <w:p/>
    <w:p>
      <w:pPr>
        <w:pStyle w:val="Heading2"/>
      </w:pPr>
      <w:r>
        <w:t>7.1 Business Unit Comparison</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p>
      <w:r>
        <w:drawing>
          <wp:inline xmlns:a="http://schemas.openxmlformats.org/drawingml/2006/main" xmlns:pic="http://schemas.openxmlformats.org/drawingml/2006/picture">
            <wp:extent cx="5303520" cy="3732889"/>
            <wp:docPr id="16" name="Picture 16"/>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303520" cy="3732889"/>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Pr>
        <w:pStyle w:val="ListBullet"/>
      </w:pPr>
      <w:r>
        <w:rPr>
          <w:rFonts w:ascii="Source Sans Pro" w:hAnsi="Source Sans Pro"/>
          <w:b w:val="0"/>
          <w:i w:val="0"/>
          <w:color w:val="0B3254"/>
          <w:sz w:val="22"/>
        </w:rPr>
        <w:t>Rows with richer input depth are materially more likely to read as meaningful records, so populated-field depth can be used as a practical early warning metric for declining quality.</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7" name="Picture 17"/>
            <wp:cNvGraphicFramePr>
              <a:graphicFrameLocks noChangeAspect="1"/>
            </wp:cNvGraphicFramePr>
            <a:graphic>
              <a:graphicData uri="http://schemas.openxmlformats.org/drawingml/2006/picture">
                <pic:pic>
                  <pic:nvPicPr>
                    <pic:cNvPr id="0" name="ch_low_value_units.png"/>
                    <pic:cNvPicPr/>
                  </pic:nvPicPr>
                  <pic:blipFill>
                    <a:blip r:embed="rId23"/>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Action Agenda</w:t>
            </w:r>
          </w:p>
          <w:p>
            <w:r>
              <w:rPr>
                <w:rFonts w:ascii="Source Sans Pro" w:hAnsi="Source Sans Pro"/>
                <w:b w:val="0"/>
                <w:i w:val="0"/>
                <w:color w:val="0B3254"/>
                <w:sz w:val="20"/>
              </w:rPr>
              <w:t>These actions are generated directly from the event hotspots, leading-activity quality signals, and project/location performance patterns in the report.</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Business Unit 'Sector Overhead' shows declining leading-activity volume in the recent period. Targeted engagement from the sector SHEQ team is recommended.</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'Resources'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'Energy &amp; Renewables'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'Water &amp; Environmental Services'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Focus the next leadership review on project 'Far North Waters', which recorded 112 events and 11 serious events against 589 leading activities.</w:t>
            </w:r>
          </w:p>
        </w:tc>
      </w:tr>
    </w:tbl>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5213"/>
        <w:gridCol w:w="5213"/>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15:49</w:t>
      </w:r>
    </w:p>
    <w:sectPr w:rsidR="00FC693F" w:rsidRPr="0006063C" w:rsidSect="00034616">
      <w:pgSz w:w="12240" w:h="15840"/>
      <w:pgMar w:top="850"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