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426"/>
      </w:tblGrid>
      <w:tr>
        <w:tc>
          <w:tcPr>
            <w:tcW w:type="dxa" w:w="10426"/>
            <w:shd w:fill="0b3254" w:val="clear"/>
          </w:tcPr>
          <w:p>
            <w:pPr>
              <w:jc w:val="left"/>
            </w:pPr>
            <w:r/>
            <w:r>
              <w:rPr>
                <w:rFonts w:ascii="Source Sans Pro" w:hAnsi="Source Sans Pro"/>
                <w:b/>
                <w:i w:val="0"/>
                <w:color w:val="FFFFFF"/>
                <w:sz w:val="52"/>
              </w:rPr>
              <w:t>SHEQ Safety Performance Report</w:t>
            </w:r>
          </w:p>
          <w:p>
            <w:r>
              <w:rPr>
                <w:rFonts w:ascii="Source Sans Pro" w:hAnsi="Source Sans Pro"/>
                <w:b w:val="0"/>
                <w:i w:val="0"/>
                <w:color w:val="D7F2FF"/>
                <w:sz w:val="26"/>
              </w:rPr>
              <w:t>Safety Energy, event risk, and leadership focus areas</w:t>
            </w:r>
          </w:p>
        </w:tc>
      </w:tr>
    </w:tbl>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Report Scope</w:t>
            </w:r>
          </w:p>
          <w:p>
            <w:r>
              <w:rPr>
                <w:rFonts w:ascii="Source Sans Pro" w:hAnsi="Source Sans Pro"/>
                <w:b w:val="0"/>
                <w:i w:val="0"/>
                <w:color w:val="0B3254"/>
                <w:sz w:val="20"/>
              </w:rPr>
              <w:t>Events window: 08 Jul 2023 – 31 Dec 2025. Leading activity window: 01 Jan 2024 – 31 Dec 2025. Built for senior leaders as a concise decision-support pack rather than a compliance summary.</w:t>
            </w:r>
          </w:p>
        </w:tc>
      </w:tr>
    </w:tbl>
    <w:p/>
    <w:tbl>
      <w:tblPr>
        <w:tblStyle w:val="TableGrid"/>
        <w:tblW w:type="auto" w:w="0"/>
        <w:jc w:val="left"/>
        <w:tblLook w:firstColumn="1" w:firstRow="1" w:lastColumn="0" w:lastRow="0" w:noHBand="0" w:noVBand="1" w:val="04A0"/>
      </w:tblPr>
      <w:tblGrid>
        <w:gridCol w:w="5213"/>
        <w:gridCol w:w="5213"/>
      </w:tblGrid>
      <w:tr>
        <w:tc>
          <w:tcPr>
            <w:tcW w:type="dxa" w:w="5213"/>
            <w:shd w:fill="f0f5fa" w:val="clear"/>
          </w:tcPr>
          <w:p>
            <w:pPr>
              <w:jc w:val="center"/>
            </w:pPr>
            <w:r/>
            <w:r>
              <w:rPr>
                <w:rFonts w:ascii="Source Sans Pro" w:hAnsi="Source Sans Pro"/>
                <w:b w:val="0"/>
                <w:i w:val="0"/>
                <w:color w:val="64748B"/>
                <w:sz w:val="16"/>
              </w:rPr>
              <w:t>Generated</w:t>
            </w:r>
          </w:p>
          <w:p>
            <w:pPr>
              <w:jc w:val="center"/>
            </w:pPr>
            <w:r>
              <w:rPr>
                <w:rFonts w:ascii="Source Sans Pro" w:hAnsi="Source Sans Pro"/>
                <w:b/>
                <w:i w:val="0"/>
                <w:color w:val="0B3254"/>
                <w:sz w:val="32"/>
              </w:rPr>
              <w:t>09 Apr 2026</w:t>
            </w:r>
          </w:p>
        </w:tc>
        <w:tc>
          <w:tcPr>
            <w:tcW w:type="dxa" w:w="5213"/>
            <w:shd w:fill="ffffff" w:val="clear"/>
          </w:tcPr>
          <w:p>
            <w:pPr>
              <w:jc w:val="center"/>
            </w:pPr>
            <w:r/>
            <w:r>
              <w:rPr>
                <w:rFonts w:ascii="Source Sans Pro" w:hAnsi="Source Sans Pro"/>
                <w:b w:val="0"/>
                <w:i w:val="0"/>
                <w:color w:val="64748B"/>
                <w:sz w:val="16"/>
              </w:rPr>
              <w:t>Events Coverage</w:t>
            </w:r>
          </w:p>
          <w:p>
            <w:pPr>
              <w:jc w:val="center"/>
            </w:pPr>
            <w:r>
              <w:rPr>
                <w:rFonts w:ascii="Source Sans Pro" w:hAnsi="Source Sans Pro"/>
                <w:b/>
                <w:i w:val="0"/>
                <w:color w:val="0B3254"/>
                <w:sz w:val="32"/>
              </w:rPr>
              <w:t>08 Jul 2023 to 31 Dec 2025</w:t>
            </w:r>
          </w:p>
        </w:tc>
      </w:tr>
      <w:tr>
        <w:tc>
          <w:tcPr>
            <w:tcW w:type="dxa" w:w="5213"/>
            <w:shd w:fill="f0f5fa" w:val="clear"/>
          </w:tcPr>
          <w:p>
            <w:pPr>
              <w:jc w:val="center"/>
            </w:pPr>
            <w:r/>
            <w:r>
              <w:rPr>
                <w:rFonts w:ascii="Source Sans Pro" w:hAnsi="Source Sans Pro"/>
                <w:b w:val="0"/>
                <w:i w:val="0"/>
                <w:color w:val="64748B"/>
                <w:sz w:val="16"/>
              </w:rPr>
              <w:t>Safety Energy Coverage</w:t>
            </w:r>
          </w:p>
          <w:p>
            <w:pPr>
              <w:jc w:val="center"/>
            </w:pPr>
            <w:r>
              <w:rPr>
                <w:rFonts w:ascii="Source Sans Pro" w:hAnsi="Source Sans Pro"/>
                <w:b/>
                <w:i w:val="0"/>
                <w:color w:val="0B3254"/>
                <w:sz w:val="32"/>
              </w:rPr>
              <w:t>01 Jan 2024 to 31 Dec 2025</w:t>
            </w:r>
          </w:p>
        </w:tc>
        <w:tc>
          <w:tcPr>
            <w:tcW w:type="dxa" w:w="5213"/>
            <w:shd w:fill="ffffff" w:val="clear"/>
          </w:tcPr>
          <w:p>
            <w:pPr>
              <w:jc w:val="center"/>
            </w:pPr>
            <w:r/>
            <w:r>
              <w:rPr>
                <w:rFonts w:ascii="Source Sans Pro" w:hAnsi="Source Sans Pro"/>
                <w:b w:val="0"/>
                <w:i w:val="0"/>
                <w:color w:val="64748B"/>
                <w:sz w:val="16"/>
              </w:rPr>
              <w:t>Audience</w:t>
            </w:r>
          </w:p>
          <w:p>
            <w:pPr>
              <w:jc w:val="center"/>
            </w:pPr>
            <w:r>
              <w:rPr>
                <w:rFonts w:ascii="Source Sans Pro" w:hAnsi="Source Sans Pro"/>
                <w:b/>
                <w:i w:val="0"/>
                <w:color w:val="0B3254"/>
                <w:sz w:val="32"/>
              </w:rPr>
              <w:t>Executive / Board</w:t>
            </w:r>
          </w:p>
        </w:tc>
      </w:tr>
    </w:tbl>
    <w:p>
      <w:r>
        <w:br w:type="page"/>
      </w:r>
    </w:p>
    <w:p>
      <w:pPr>
        <w:pStyle w:val="Heading1"/>
      </w:pPr>
      <w:r>
        <w:t>1. Executive Summary</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Leadership Readout</w:t>
            </w:r>
          </w:p>
          <w:p>
            <w:r>
              <w:rPr>
                <w:rFonts w:ascii="Source Sans Pro" w:hAnsi="Source Sans Pro"/>
                <w:b w:val="0"/>
                <w:i w:val="0"/>
                <w:color w:val="0B3254"/>
                <w:sz w:val="20"/>
              </w:rPr>
              <w:t>This summary highlights where event risk is concentrated, where leading activities appear strongest or weakest, and what senior leaders should prioritise next.</w:t>
            </w:r>
          </w:p>
        </w:tc>
      </w:tr>
    </w:tbl>
    <w:p/>
    <w:tbl>
      <w:tblPr>
        <w:tblStyle w:val="TableGrid"/>
        <w:tblW w:type="auto" w:w="0"/>
        <w:jc w:val="left"/>
        <w:tblLook w:firstColumn="1" w:firstRow="1" w:lastColumn="0" w:lastRow="0" w:noHBand="0" w:noVBand="1" w:val="04A0"/>
      </w:tblPr>
      <w:tblGrid>
        <w:gridCol w:w="2606"/>
        <w:gridCol w:w="2606"/>
        <w:gridCol w:w="2606"/>
        <w:gridCol w:w="2606"/>
      </w:tblGrid>
      <w:tr>
        <w:tc>
          <w:tcPr>
            <w:tcW w:type="dxa" w:w="2606"/>
            <w:shd w:fill="f0f5fa" w:val="clear"/>
          </w:tcPr>
          <w:p>
            <w:pPr>
              <w:jc w:val="center"/>
            </w:pPr>
            <w:r/>
            <w:r>
              <w:rPr>
                <w:rFonts w:ascii="Source Sans Pro" w:hAnsi="Source Sans Pro"/>
                <w:b w:val="0"/>
                <w:i w:val="0"/>
                <w:color w:val="64748B"/>
                <w:sz w:val="16"/>
              </w:rPr>
              <w:t>Total Events</w:t>
            </w:r>
          </w:p>
          <w:p>
            <w:pPr>
              <w:jc w:val="center"/>
            </w:pPr>
            <w:r>
              <w:rPr>
                <w:rFonts w:ascii="Source Sans Pro" w:hAnsi="Source Sans Pro"/>
                <w:b/>
                <w:i w:val="0"/>
                <w:color w:val="0B3254"/>
                <w:sz w:val="32"/>
              </w:rPr>
              <w:t>2621</w:t>
            </w:r>
          </w:p>
        </w:tc>
        <w:tc>
          <w:tcPr>
            <w:tcW w:type="dxa" w:w="2606"/>
            <w:shd w:fill="ffffff" w:val="clear"/>
          </w:tcPr>
          <w:p>
            <w:pPr>
              <w:jc w:val="center"/>
            </w:pPr>
            <w:r/>
            <w:r>
              <w:rPr>
                <w:rFonts w:ascii="Source Sans Pro" w:hAnsi="Source Sans Pro"/>
                <w:b w:val="0"/>
                <w:i w:val="0"/>
                <w:color w:val="64748B"/>
                <w:sz w:val="16"/>
              </w:rPr>
              <w:t>Moderate+ Events</w:t>
            </w:r>
          </w:p>
          <w:p>
            <w:pPr>
              <w:jc w:val="center"/>
            </w:pPr>
            <w:r>
              <w:rPr>
                <w:rFonts w:ascii="Source Sans Pro" w:hAnsi="Source Sans Pro"/>
                <w:b/>
                <w:i w:val="0"/>
                <w:color w:val="0B3254"/>
                <w:sz w:val="32"/>
              </w:rPr>
              <w:t>88</w:t>
            </w:r>
          </w:p>
        </w:tc>
        <w:tc>
          <w:tcPr>
            <w:tcW w:type="dxa" w:w="2606"/>
            <w:shd w:fill="f0f5fa" w:val="clear"/>
          </w:tcPr>
          <w:p>
            <w:pPr>
              <w:jc w:val="center"/>
            </w:pPr>
            <w:r/>
            <w:r>
              <w:rPr>
                <w:rFonts w:ascii="Source Sans Pro" w:hAnsi="Source Sans Pro"/>
                <w:b w:val="0"/>
                <w:i w:val="0"/>
                <w:color w:val="64748B"/>
                <w:sz w:val="16"/>
              </w:rPr>
              <w:t>Events / Month</w:t>
            </w:r>
          </w:p>
          <w:p>
            <w:pPr>
              <w:jc w:val="center"/>
            </w:pPr>
            <w:r>
              <w:rPr>
                <w:rFonts w:ascii="Source Sans Pro" w:hAnsi="Source Sans Pro"/>
                <w:b/>
                <w:i w:val="0"/>
                <w:color w:val="0B3254"/>
                <w:sz w:val="32"/>
              </w:rPr>
              <w:t>109.2</w:t>
            </w:r>
          </w:p>
        </w:tc>
        <w:tc>
          <w:tcPr>
            <w:tcW w:type="dxa" w:w="2606"/>
            <w:shd w:fill="ffffff" w:val="clear"/>
          </w:tcPr>
          <w:p>
            <w:pPr>
              <w:jc w:val="center"/>
            </w:pPr>
            <w:r/>
            <w:r>
              <w:rPr>
                <w:rFonts w:ascii="Source Sans Pro" w:hAnsi="Source Sans Pro"/>
                <w:b w:val="0"/>
                <w:i w:val="0"/>
                <w:color w:val="64748B"/>
                <w:sz w:val="16"/>
              </w:rPr>
              <w:t>Motor Vehicle Events</w:t>
            </w:r>
          </w:p>
          <w:p>
            <w:pPr>
              <w:jc w:val="center"/>
            </w:pPr>
            <w:r>
              <w:rPr>
                <w:rFonts w:ascii="Source Sans Pro" w:hAnsi="Source Sans Pro"/>
                <w:b/>
                <w:i w:val="0"/>
                <w:color w:val="0B3254"/>
                <w:sz w:val="32"/>
              </w:rPr>
              <w:t>279</w:t>
            </w:r>
          </w:p>
        </w:tc>
      </w:tr>
      <w:tr>
        <w:tc>
          <w:tcPr>
            <w:tcW w:type="dxa" w:w="2606"/>
            <w:shd w:fill="f0f5fa" w:val="clear"/>
          </w:tcPr>
          <w:p>
            <w:pPr>
              <w:jc w:val="center"/>
            </w:pPr>
            <w:r/>
            <w:r>
              <w:rPr>
                <w:rFonts w:ascii="Source Sans Pro" w:hAnsi="Source Sans Pro"/>
                <w:b w:val="0"/>
                <w:i w:val="0"/>
                <w:color w:val="64748B"/>
                <w:sz w:val="16"/>
              </w:rPr>
              <w:t>LLCs</w:t>
            </w:r>
          </w:p>
          <w:p>
            <w:pPr>
              <w:jc w:val="center"/>
            </w:pPr>
            <w:r>
              <w:rPr>
                <w:rFonts w:ascii="Source Sans Pro" w:hAnsi="Source Sans Pro"/>
                <w:b/>
                <w:i w:val="0"/>
                <w:color w:val="0B3254"/>
                <w:sz w:val="32"/>
              </w:rPr>
              <w:t>5954</w:t>
            </w:r>
          </w:p>
        </w:tc>
        <w:tc>
          <w:tcPr>
            <w:tcW w:type="dxa" w:w="2606"/>
            <w:shd w:fill="ffffff" w:val="clear"/>
          </w:tcPr>
          <w:p>
            <w:pPr>
              <w:jc w:val="center"/>
            </w:pPr>
            <w:r/>
            <w:r>
              <w:rPr>
                <w:rFonts w:ascii="Source Sans Pro" w:hAnsi="Source Sans Pro"/>
                <w:b w:val="0"/>
                <w:i w:val="0"/>
                <w:color w:val="64748B"/>
                <w:sz w:val="16"/>
              </w:rPr>
              <w:t>CCCs</w:t>
            </w:r>
          </w:p>
          <w:p>
            <w:pPr>
              <w:jc w:val="center"/>
            </w:pPr>
            <w:r>
              <w:rPr>
                <w:rFonts w:ascii="Source Sans Pro" w:hAnsi="Source Sans Pro"/>
                <w:b/>
                <w:i w:val="0"/>
                <w:color w:val="0B3254"/>
                <w:sz w:val="32"/>
              </w:rPr>
              <w:t>7730</w:t>
            </w:r>
          </w:p>
        </w:tc>
        <w:tc>
          <w:tcPr>
            <w:tcW w:type="dxa" w:w="2606"/>
            <w:shd w:fill="f0f5fa" w:val="clear"/>
          </w:tcPr>
          <w:p>
            <w:pPr>
              <w:jc w:val="center"/>
            </w:pPr>
            <w:r/>
            <w:r>
              <w:rPr>
                <w:rFonts w:ascii="Source Sans Pro" w:hAnsi="Source Sans Pro"/>
                <w:b w:val="0"/>
                <w:i w:val="0"/>
                <w:color w:val="64748B"/>
                <w:sz w:val="16"/>
              </w:rPr>
              <w:t>OCCs</w:t>
            </w:r>
          </w:p>
          <w:p>
            <w:pPr>
              <w:jc w:val="center"/>
            </w:pPr>
            <w:r>
              <w:rPr>
                <w:rFonts w:ascii="Source Sans Pro" w:hAnsi="Source Sans Pro"/>
                <w:b/>
                <w:i w:val="0"/>
                <w:color w:val="0B3254"/>
                <w:sz w:val="32"/>
              </w:rPr>
              <w:t>5789</w:t>
            </w:r>
          </w:p>
        </w:tc>
        <w:tc>
          <w:tcPr>
            <w:tcW w:type="dxa" w:w="2606"/>
            <w:shd w:fill="ffffff" w:val="clear"/>
          </w:tcPr>
          <w:p>
            <w:pPr>
              <w:jc w:val="center"/>
            </w:pPr>
            <w:r/>
            <w:r>
              <w:rPr>
                <w:rFonts w:ascii="Source Sans Pro" w:hAnsi="Source Sans Pro"/>
                <w:b w:val="0"/>
                <w:i w:val="0"/>
                <w:color w:val="64748B"/>
                <w:sz w:val="16"/>
              </w:rPr>
              <w:t>CCC Avg Quality</w:t>
            </w:r>
          </w:p>
          <w:p>
            <w:pPr>
              <w:jc w:val="center"/>
            </w:pPr>
            <w:r>
              <w:rPr>
                <w:rFonts w:ascii="Source Sans Pro" w:hAnsi="Source Sans Pro"/>
                <w:b/>
                <w:i w:val="0"/>
                <w:color w:val="0B3254"/>
                <w:sz w:val="32"/>
              </w:rPr>
              <w:t>28.2</w:t>
            </w:r>
          </w:p>
        </w:tc>
      </w:tr>
    </w:tbl>
    <w:p/>
    <w:p>
      <w:pPr>
        <w:pStyle w:val="Heading2"/>
      </w:pPr>
      <w:r>
        <w:t>1.1 What Leaders Should Know</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LLC records currently show the strongest overall documentation quality among the three leading activity types.</w:t>
      </w:r>
    </w:p>
    <w:p/>
    <w:p>
      <w:pPr>
        <w:pStyle w:val="Heading2"/>
      </w:pPr>
      <w:r>
        <w:t>1.2 Board Visual Snapshot</w:t>
      </w:r>
    </w:p>
    <w:p>
      <w:r>
        <w:drawing>
          <wp:inline xmlns:a="http://schemas.openxmlformats.org/drawingml/2006/main" xmlns:pic="http://schemas.openxmlformats.org/drawingml/2006/picture">
            <wp:extent cx="5486400" cy="2410966"/>
            <wp:docPr id="1" name="Picture 1"/>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p>
      <w:r>
        <w:drawing>
          <wp:inline xmlns:a="http://schemas.openxmlformats.org/drawingml/2006/main" xmlns:pic="http://schemas.openxmlformats.org/drawingml/2006/picture">
            <wp:extent cx="5486400" cy="3861610"/>
            <wp:docPr id="2" name="Picture 2"/>
            <wp:cNvGraphicFramePr>
              <a:graphicFrameLocks noChangeAspect="1"/>
            </wp:cNvGraphicFramePr>
            <a:graphic>
              <a:graphicData uri="http://schemas.openxmlformats.org/drawingml/2006/picture">
                <pic:pic>
                  <pic:nvPicPr>
                    <pic:cNvPr id="0" name="ch_project_quadrant.png"/>
                    <pic:cNvPicPr/>
                  </pic:nvPicPr>
                  <pic:blipFill>
                    <a:blip r:embed="rId10"/>
                    <a:stretch>
                      <a:fillRect/>
                    </a:stretch>
                  </pic:blipFill>
                  <pic:spPr>
                    <a:xfrm>
                      <a:off x="0" y="0"/>
                      <a:ext cx="5486400" cy="3861610"/>
                    </a:xfrm>
                    <a:prstGeom prst="rect"/>
                  </pic:spPr>
                </pic:pic>
              </a:graphicData>
            </a:graphic>
          </wp:inline>
        </w:drawing>
      </w:r>
    </w:p>
    <w:p/>
    <w:p>
      <w:pPr>
        <w:pStyle w:val="Heading2"/>
      </w:pPr>
      <w:r>
        <w:t>1.3 Priority Actions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Event Story</w:t>
            </w:r>
          </w:p>
          <w:p>
            <w:r>
              <w:rPr>
                <w:rFonts w:ascii="Source Sans Pro" w:hAnsi="Source Sans Pro"/>
                <w:b w:val="0"/>
                <w:i w:val="0"/>
                <w:color w:val="0B3254"/>
                <w:sz w:val="20"/>
              </w:rPr>
              <w:t>This section focuses on where event burden is building, where serious outcomes are concentrated, and what special risk signals are visible in timing and motor vehicle data.</w:t>
            </w:r>
          </w:p>
        </w:tc>
      </w:tr>
    </w:tbl>
    <w:p/>
    <w:p>
      <w:pPr>
        <w:pStyle w:val="Heading2"/>
      </w:pPr>
      <w:r>
        <w:t>3.1 Monthly Trend</w:t>
      </w:r>
    </w:p>
    <w:p>
      <w:r>
        <w:drawing>
          <wp:inline xmlns:a="http://schemas.openxmlformats.org/drawingml/2006/main" xmlns:pic="http://schemas.openxmlformats.org/drawingml/2006/picture">
            <wp:extent cx="5486400" cy="1964025"/>
            <wp:docPr id="3" name="Picture 3"/>
            <wp:cNvGraphicFramePr>
              <a:graphicFrameLocks noChangeAspect="1"/>
            </wp:cNvGraphicFramePr>
            <a:graphic>
              <a:graphicData uri="http://schemas.openxmlformats.org/drawingml/2006/picture">
                <pic:pic>
                  <pic:nvPicPr>
                    <pic:cNvPr id="0" name="ch_events_monthly.png"/>
                    <pic:cNvPicPr/>
                  </pic:nvPicPr>
                  <pic:blipFill>
                    <a:blip r:embed="rId11"/>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4" name="Picture 4"/>
            <wp:cNvGraphicFramePr>
              <a:graphicFrameLocks noChangeAspect="1"/>
            </wp:cNvGraphicFramePr>
            <a:graphic>
              <a:graphicData uri="http://schemas.openxmlformats.org/drawingml/2006/picture">
                <pic:pic>
                  <pic:nvPicPr>
                    <pic:cNvPr id="0" name="ch_consequence.png"/>
                    <pic:cNvPicPr/>
                  </pic:nvPicPr>
                  <pic:blipFill>
                    <a:blip r:embed="rId12"/>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Event Type</w:t>
            </w:r>
          </w:p>
        </w:tc>
        <w:tc>
          <w:tcPr>
            <w:tcW w:type="dxa" w:w="1728"/>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w:t>
            </w:r>
          </w:p>
        </w:tc>
      </w:tr>
      <w:tr>
        <w:tc>
          <w:tcPr>
            <w:tcW w:type="dxa" w:w="4320"/>
            <w:shd w:fill="f0f5fa" w:val="clear"/>
          </w:tcPr>
          <w:p>
            <w:r/>
            <w:r>
              <w:rPr>
                <w:rFonts w:ascii="Source Sans Pro" w:hAnsi="Source Sans Pro"/>
                <w:sz w:val="18"/>
              </w:rPr>
              <w:t>Injury/Illness Sustained</w:t>
            </w:r>
          </w:p>
        </w:tc>
        <w:tc>
          <w:tcPr>
            <w:tcW w:type="dxa" w:w="1728"/>
            <w:shd w:fill="f0f5fa" w:val="clear"/>
          </w:tcPr>
          <w:p>
            <w:r/>
            <w:r>
              <w:rPr>
                <w:rFonts w:ascii="Source Sans Pro" w:hAnsi="Source Sans Pro"/>
                <w:sz w:val="18"/>
              </w:rPr>
              <w:t>1084</w:t>
            </w:r>
          </w:p>
        </w:tc>
        <w:tc>
          <w:tcPr>
            <w:tcW w:type="dxa" w:w="1440"/>
            <w:shd w:fill="f0f5fa" w:val="clear"/>
          </w:tcPr>
          <w:p>
            <w:r/>
            <w:r>
              <w:rPr>
                <w:rFonts w:ascii="Source Sans Pro" w:hAnsi="Source Sans Pro"/>
                <w:sz w:val="18"/>
              </w:rPr>
              <w:t>41.4%</w:t>
            </w:r>
          </w:p>
        </w:tc>
      </w:tr>
      <w:tr>
        <w:tc>
          <w:tcPr>
            <w:tcW w:type="dxa" w:w="4320"/>
            <w:shd w:fill="ffffff" w:val="clear"/>
          </w:tcPr>
          <w:p>
            <w:r/>
            <w:r>
              <w:rPr>
                <w:rFonts w:ascii="Source Sans Pro" w:hAnsi="Source Sans Pro"/>
                <w:sz w:val="18"/>
              </w:rPr>
              <w:t>Equipment/Property Damage</w:t>
            </w:r>
          </w:p>
        </w:tc>
        <w:tc>
          <w:tcPr>
            <w:tcW w:type="dxa" w:w="1728"/>
            <w:shd w:fill="ffffff" w:val="clear"/>
          </w:tcPr>
          <w:p>
            <w:r/>
            <w:r>
              <w:rPr>
                <w:rFonts w:ascii="Source Sans Pro" w:hAnsi="Source Sans Pro"/>
                <w:sz w:val="18"/>
              </w:rPr>
              <w:t>430</w:t>
            </w:r>
          </w:p>
        </w:tc>
        <w:tc>
          <w:tcPr>
            <w:tcW w:type="dxa" w:w="1440"/>
            <w:shd w:fill="ffffff" w:val="clear"/>
          </w:tcPr>
          <w:p>
            <w:r/>
            <w:r>
              <w:rPr>
                <w:rFonts w:ascii="Source Sans Pro" w:hAnsi="Source Sans Pro"/>
                <w:sz w:val="18"/>
              </w:rPr>
              <w:t>16.4%</w:t>
            </w:r>
          </w:p>
        </w:tc>
      </w:tr>
      <w:tr>
        <w:tc>
          <w:tcPr>
            <w:tcW w:type="dxa" w:w="4320"/>
            <w:shd w:fill="f0f5fa" w:val="clear"/>
          </w:tcPr>
          <w:p>
            <w:r/>
            <w:r>
              <w:rPr>
                <w:rFonts w:ascii="Source Sans Pro" w:hAnsi="Source Sans Pro"/>
                <w:sz w:val="18"/>
              </w:rPr>
              <w:t>Motor Vehicle</w:t>
            </w:r>
          </w:p>
        </w:tc>
        <w:tc>
          <w:tcPr>
            <w:tcW w:type="dxa" w:w="1728"/>
            <w:shd w:fill="f0f5fa" w:val="clear"/>
          </w:tcPr>
          <w:p>
            <w:r/>
            <w:r>
              <w:rPr>
                <w:rFonts w:ascii="Source Sans Pro" w:hAnsi="Source Sans Pro"/>
                <w:sz w:val="18"/>
              </w:rPr>
              <w:t>279</w:t>
            </w:r>
          </w:p>
        </w:tc>
        <w:tc>
          <w:tcPr>
            <w:tcW w:type="dxa" w:w="144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Close Call</w:t>
            </w:r>
          </w:p>
        </w:tc>
        <w:tc>
          <w:tcPr>
            <w:tcW w:type="dxa" w:w="1728"/>
            <w:shd w:fill="ffffff" w:val="clear"/>
          </w:tcPr>
          <w:p>
            <w:r/>
            <w:r>
              <w:rPr>
                <w:rFonts w:ascii="Source Sans Pro" w:hAnsi="Source Sans Pro"/>
                <w:sz w:val="18"/>
              </w:rPr>
              <w:t>256</w:t>
            </w:r>
          </w:p>
        </w:tc>
        <w:tc>
          <w:tcPr>
            <w:tcW w:type="dxa" w:w="1440"/>
            <w:shd w:fill="ffffff" w:val="clear"/>
          </w:tcPr>
          <w:p>
            <w:r/>
            <w:r>
              <w:rPr>
                <w:rFonts w:ascii="Source Sans Pro" w:hAnsi="Source Sans Pro"/>
                <w:sz w:val="18"/>
              </w:rPr>
              <w:t>9.8%</w:t>
            </w:r>
          </w:p>
        </w:tc>
      </w:tr>
      <w:tr>
        <w:tc>
          <w:tcPr>
            <w:tcW w:type="dxa" w:w="4320"/>
            <w:shd w:fill="f0f5fa" w:val="clear"/>
          </w:tcPr>
          <w:p>
            <w:r/>
            <w:r>
              <w:rPr>
                <w:rFonts w:ascii="Source Sans Pro" w:hAnsi="Source Sans Pro"/>
                <w:sz w:val="18"/>
              </w:rPr>
              <w:t>Nonconformance</w:t>
            </w:r>
          </w:p>
        </w:tc>
        <w:tc>
          <w:tcPr>
            <w:tcW w:type="dxa" w:w="1728"/>
            <w:shd w:fill="f0f5fa" w:val="clear"/>
          </w:tcPr>
          <w:p>
            <w:r/>
            <w:r>
              <w:rPr>
                <w:rFonts w:ascii="Source Sans Pro" w:hAnsi="Source Sans Pro"/>
                <w:sz w:val="18"/>
              </w:rPr>
              <w:t>181</w:t>
            </w:r>
          </w:p>
        </w:tc>
        <w:tc>
          <w:tcPr>
            <w:tcW w:type="dxa" w:w="1440"/>
            <w:shd w:fill="f0f5fa" w:val="clear"/>
          </w:tcPr>
          <w:p>
            <w:r/>
            <w:r>
              <w:rPr>
                <w:rFonts w:ascii="Source Sans Pro" w:hAnsi="Source Sans Pro"/>
                <w:sz w:val="18"/>
              </w:rPr>
              <w:t>6.9%</w:t>
            </w:r>
          </w:p>
        </w:tc>
      </w:tr>
      <w:tr>
        <w:tc>
          <w:tcPr>
            <w:tcW w:type="dxa" w:w="4320"/>
            <w:shd w:fill="ffffff" w:val="clear"/>
          </w:tcPr>
          <w:p>
            <w:r/>
            <w:r>
              <w:rPr>
                <w:rFonts w:ascii="Source Sans Pro" w:hAnsi="Source Sans Pro"/>
                <w:sz w:val="18"/>
              </w:rPr>
              <w:t>Environment</w:t>
            </w:r>
          </w:p>
        </w:tc>
        <w:tc>
          <w:tcPr>
            <w:tcW w:type="dxa" w:w="1728"/>
            <w:shd w:fill="ffffff" w:val="clear"/>
          </w:tcPr>
          <w:p>
            <w:r/>
            <w:r>
              <w:rPr>
                <w:rFonts w:ascii="Source Sans Pro" w:hAnsi="Source Sans Pro"/>
                <w:sz w:val="18"/>
              </w:rPr>
              <w:t>110</w:t>
            </w:r>
          </w:p>
        </w:tc>
        <w:tc>
          <w:tcPr>
            <w:tcW w:type="dxa" w:w="1440"/>
            <w:shd w:fill="ffffff" w:val="clear"/>
          </w:tcPr>
          <w:p>
            <w:r/>
            <w:r>
              <w:rPr>
                <w:rFonts w:ascii="Source Sans Pro" w:hAnsi="Source Sans Pro"/>
                <w:sz w:val="18"/>
              </w:rPr>
              <w:t>4.2%</w:t>
            </w:r>
          </w:p>
        </w:tc>
      </w:tr>
      <w:tr>
        <w:tc>
          <w:tcPr>
            <w:tcW w:type="dxa" w:w="4320"/>
            <w:shd w:fill="f0f5fa" w:val="clear"/>
          </w:tcPr>
          <w:p>
            <w:r/>
            <w:r>
              <w:rPr>
                <w:rFonts w:ascii="Source Sans Pro" w:hAnsi="Source Sans Pro"/>
                <w:sz w:val="18"/>
              </w:rPr>
              <w:t>Utility Strike</w:t>
            </w:r>
          </w:p>
        </w:tc>
        <w:tc>
          <w:tcPr>
            <w:tcW w:type="dxa" w:w="1728"/>
            <w:shd w:fill="f0f5fa" w:val="clear"/>
          </w:tcPr>
          <w:p>
            <w:r/>
            <w:r>
              <w:rPr>
                <w:rFonts w:ascii="Source Sans Pro" w:hAnsi="Source Sans Pro"/>
                <w:sz w:val="18"/>
              </w:rPr>
              <w:t>98</w:t>
            </w:r>
          </w:p>
        </w:tc>
        <w:tc>
          <w:tcPr>
            <w:tcW w:type="dxa" w:w="1440"/>
            <w:shd w:fill="f0f5fa" w:val="clear"/>
          </w:tcPr>
          <w:p>
            <w:r/>
            <w:r>
              <w:rPr>
                <w:rFonts w:ascii="Source Sans Pro" w:hAnsi="Source Sans Pro"/>
                <w:sz w:val="18"/>
              </w:rPr>
              <w:t>3.7%</w:t>
            </w:r>
          </w:p>
        </w:tc>
      </w:tr>
      <w:tr>
        <w:tc>
          <w:tcPr>
            <w:tcW w:type="dxa" w:w="4320"/>
            <w:shd w:fill="ffffff" w:val="clear"/>
          </w:tcPr>
          <w:p>
            <w:r/>
            <w:r>
              <w:rPr>
                <w:rFonts w:ascii="Source Sans Pro" w:hAnsi="Source Sans Pro"/>
                <w:sz w:val="18"/>
              </w:rPr>
              <w:t>Third Party/Public Liability</w:t>
            </w:r>
          </w:p>
        </w:tc>
        <w:tc>
          <w:tcPr>
            <w:tcW w:type="dxa" w:w="1728"/>
            <w:shd w:fill="ffffff" w:val="clear"/>
          </w:tcPr>
          <w:p>
            <w:r/>
            <w:r>
              <w:rPr>
                <w:rFonts w:ascii="Source Sans Pro" w:hAnsi="Source Sans Pro"/>
                <w:sz w:val="18"/>
              </w:rPr>
              <w:t>77</w:t>
            </w:r>
          </w:p>
        </w:tc>
        <w:tc>
          <w:tcPr>
            <w:tcW w:type="dxa" w:w="1440"/>
            <w:shd w:fill="ffffff" w:val="clear"/>
          </w:tcPr>
          <w:p>
            <w:r/>
            <w:r>
              <w:rPr>
                <w:rFonts w:ascii="Source Sans Pro" w:hAnsi="Source Sans Pro"/>
                <w:sz w:val="18"/>
              </w:rPr>
              <w:t>2.9%</w:t>
            </w:r>
          </w:p>
        </w:tc>
      </w:tr>
      <w:tr>
        <w:tc>
          <w:tcPr>
            <w:tcW w:type="dxa" w:w="4320"/>
            <w:shd w:fill="f0f5fa" w:val="clear"/>
          </w:tcPr>
          <w:p>
            <w:r/>
            <w:r>
              <w:rPr>
                <w:rFonts w:ascii="Source Sans Pro" w:hAnsi="Source Sans Pro"/>
                <w:sz w:val="18"/>
              </w:rPr>
              <w:t>Security</w:t>
            </w:r>
          </w:p>
        </w:tc>
        <w:tc>
          <w:tcPr>
            <w:tcW w:type="dxa" w:w="1728"/>
            <w:shd w:fill="f0f5fa" w:val="clear"/>
          </w:tcPr>
          <w:p>
            <w:r/>
            <w:r>
              <w:rPr>
                <w:rFonts w:ascii="Source Sans Pro" w:hAnsi="Source Sans Pro"/>
                <w:sz w:val="18"/>
              </w:rPr>
              <w:t>75</w:t>
            </w:r>
          </w:p>
        </w:tc>
        <w:tc>
          <w:tcPr>
            <w:tcW w:type="dxa" w:w="1440"/>
            <w:shd w:fill="f0f5fa" w:val="clear"/>
          </w:tcPr>
          <w:p>
            <w:r/>
            <w:r>
              <w:rPr>
                <w:rFonts w:ascii="Source Sans Pro" w:hAnsi="Source Sans Pro"/>
                <w:sz w:val="18"/>
              </w:rPr>
              <w:t>2.9%</w:t>
            </w:r>
          </w:p>
        </w:tc>
      </w:tr>
      <w:tr>
        <w:tc>
          <w:tcPr>
            <w:tcW w:type="dxa" w:w="4320"/>
            <w:shd w:fill="ffffff" w:val="clear"/>
          </w:tcPr>
          <w:p>
            <w:r/>
            <w:r>
              <w:rPr>
                <w:rFonts w:ascii="Source Sans Pro" w:hAnsi="Source Sans Pro"/>
                <w:sz w:val="18"/>
              </w:rPr>
              <w:t>Compliance breach/notice</w:t>
            </w:r>
          </w:p>
        </w:tc>
        <w:tc>
          <w:tcPr>
            <w:tcW w:type="dxa" w:w="1728"/>
            <w:shd w:fill="ffffff" w:val="clear"/>
          </w:tcPr>
          <w:p>
            <w:r/>
            <w:r>
              <w:rPr>
                <w:rFonts w:ascii="Source Sans Pro" w:hAnsi="Source Sans Pro"/>
                <w:sz w:val="18"/>
              </w:rPr>
              <w:t>21</w:t>
            </w:r>
          </w:p>
        </w:tc>
        <w:tc>
          <w:tcPr>
            <w:tcW w:type="dxa" w:w="1440"/>
            <w:shd w:fill="ffffff" w:val="clear"/>
          </w:tcPr>
          <w:p>
            <w:r/>
            <w:r>
              <w:rPr>
                <w:rFonts w:ascii="Source Sans Pro" w:hAnsi="Source Sans Pro"/>
                <w:sz w:val="18"/>
              </w:rPr>
              <w:t>0.8%</w:t>
            </w:r>
          </w:p>
        </w:tc>
      </w:tr>
      <w:tr>
        <w:tc>
          <w:tcPr>
            <w:tcW w:type="dxa" w:w="4320"/>
            <w:shd w:fill="f0f5fa" w:val="clear"/>
          </w:tcPr>
          <w:p>
            <w:r/>
            <w:r>
              <w:rPr>
                <w:rFonts w:ascii="Source Sans Pro" w:hAnsi="Source Sans Pro"/>
                <w:sz w:val="18"/>
              </w:rPr>
              <w:t>Assault</w:t>
            </w:r>
          </w:p>
        </w:tc>
        <w:tc>
          <w:tcPr>
            <w:tcW w:type="dxa" w:w="1728"/>
            <w:shd w:fill="f0f5fa" w:val="clear"/>
          </w:tcPr>
          <w:p>
            <w:r/>
            <w:r>
              <w:rPr>
                <w:rFonts w:ascii="Source Sans Pro" w:hAnsi="Source Sans Pro"/>
                <w:sz w:val="18"/>
              </w:rPr>
              <w:t>10</w:t>
            </w:r>
          </w:p>
        </w:tc>
        <w:tc>
          <w:tcPr>
            <w:tcW w:type="dxa" w:w="1440"/>
            <w:shd w:fill="f0f5fa" w:val="clear"/>
          </w:tcPr>
          <w:p>
            <w:r/>
            <w:r>
              <w:rPr>
                <w:rFonts w:ascii="Source Sans Pro" w:hAnsi="Source Sans Pro"/>
                <w:sz w:val="18"/>
              </w:rPr>
              <w:t>0.4%</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141</w:t>
            </w:r>
          </w:p>
        </w:tc>
      </w:tr>
      <w:tr>
        <w:tc>
          <w:tcPr>
            <w:tcW w:type="dxa" w:w="576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r>
      <w:tr>
        <w:tc>
          <w:tcPr>
            <w:tcW w:type="dxa" w:w="576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119</w:t>
            </w:r>
          </w:p>
        </w:tc>
      </w:tr>
      <w:tr>
        <w:tc>
          <w:tcPr>
            <w:tcW w:type="dxa" w:w="576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r>
      <w:tr>
        <w:tc>
          <w:tcPr>
            <w:tcW w:type="dxa" w:w="576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49</w:t>
            </w:r>
          </w:p>
        </w:tc>
      </w:tr>
      <w:tr>
        <w:tc>
          <w:tcPr>
            <w:tcW w:type="dxa" w:w="576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r>
      <w:tr>
        <w:tc>
          <w:tcPr>
            <w:tcW w:type="dxa" w:w="576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35</w:t>
            </w:r>
          </w:p>
        </w:tc>
      </w:tr>
      <w:tr>
        <w:tc>
          <w:tcPr>
            <w:tcW w:type="dxa" w:w="5760"/>
            <w:shd w:fill="ffffff" w:val="clear"/>
          </w:tcPr>
          <w:p>
            <w:r/>
            <w:r>
              <w:rPr>
                <w:rFonts w:ascii="Source Sans Pro" w:hAnsi="Source Sans Pro"/>
                <w:sz w:val="18"/>
              </w:rPr>
              <w:t>CRP-Working Near Live Services</w:t>
            </w:r>
          </w:p>
        </w:tc>
        <w:tc>
          <w:tcPr>
            <w:tcW w:type="dxa" w:w="2160"/>
            <w:shd w:fill="ffffff" w:val="clear"/>
          </w:tcPr>
          <w:p>
            <w:r/>
            <w:r>
              <w:rPr>
                <w:rFonts w:ascii="Source Sans Pro" w:hAnsi="Source Sans Pro"/>
                <w:sz w:val="18"/>
              </w:rPr>
              <w:t>25</w:t>
            </w:r>
          </w:p>
        </w:tc>
      </w:tr>
    </w:tbl>
    <w:p/>
    <w:p>
      <w:pPr>
        <w:pStyle w:val="Heading2"/>
      </w:pPr>
      <w:r>
        <w:t>3.5 Root Cause Categories</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986</w:t>
            </w:r>
          </w:p>
        </w:tc>
      </w:tr>
      <w:tr>
        <w:tc>
          <w:tcPr>
            <w:tcW w:type="dxa" w:w="576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965</w:t>
            </w:r>
          </w:p>
        </w:tc>
      </w:tr>
      <w:tr>
        <w:tc>
          <w:tcPr>
            <w:tcW w:type="dxa" w:w="576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324</w:t>
            </w:r>
          </w:p>
        </w:tc>
      </w:tr>
      <w:tr>
        <w:tc>
          <w:tcPr>
            <w:tcW w:type="dxa" w:w="576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226</w:t>
            </w:r>
          </w:p>
        </w:tc>
      </w:tr>
      <w:tr>
        <w:tc>
          <w:tcPr>
            <w:tcW w:type="dxa" w:w="576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86</w:t>
            </w:r>
          </w:p>
        </w:tc>
      </w:tr>
      <w:tr>
        <w:tc>
          <w:tcPr>
            <w:tcW w:type="dxa" w:w="576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20</w:t>
            </w:r>
          </w:p>
        </w:tc>
      </w:tr>
    </w:tbl>
    <w:p/>
    <w:p>
      <w:pPr>
        <w:pStyle w:val="Heading2"/>
      </w:pPr>
      <w:r>
        <w:t>3.6 Serious Event Hotspots</w:t>
      </w:r>
    </w:p>
    <w:p>
      <w:r>
        <w:rPr>
          <w:rFonts w:ascii="Source Sans Pro" w:hAnsi="Source Sans Pro"/>
          <w:b w:val="0"/>
          <w:i w:val="0"/>
          <w:color w:val="0B3254"/>
          <w:sz w:val="22"/>
        </w:rPr>
        <w:t>These are the projects and locations with the highest counts of moderate, major, or substantial events in the analysis window.</w:t>
      </w:r>
    </w:p>
    <w:p>
      <w:r>
        <w:drawing>
          <wp:inline xmlns:a="http://schemas.openxmlformats.org/drawingml/2006/main" xmlns:pic="http://schemas.openxmlformats.org/drawingml/2006/picture">
            <wp:extent cx="5303520" cy="2615344"/>
            <wp:docPr id="5" name="Picture 5"/>
            <wp:cNvGraphicFramePr>
              <a:graphicFrameLocks noChangeAspect="1"/>
            </wp:cNvGraphicFramePr>
            <a:graphic>
              <a:graphicData uri="http://schemas.openxmlformats.org/drawingml/2006/picture">
                <pic:pic>
                  <pic:nvPicPr>
                    <pic:cNvPr id="0" name="ch_serious_hotspots.png"/>
                    <pic:cNvPicPr/>
                  </pic:nvPicPr>
                  <pic:blipFill>
                    <a:blip r:embed="rId13"/>
                    <a:stretch>
                      <a:fillRect/>
                    </a:stretch>
                  </pic:blipFill>
                  <pic:spPr>
                    <a:xfrm>
                      <a:off x="0" y="0"/>
                      <a:ext cx="5303520" cy="2615344"/>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ENR NZ South</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Utilita</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WSO</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ENR NZ Central</w:t>
            </w:r>
          </w:p>
        </w:tc>
        <w:tc>
          <w:tcPr>
            <w:tcW w:type="dxa" w:w="2160"/>
            <w:shd w:fill="f0f5fa" w:val="clear"/>
          </w:tcPr>
          <w:p>
            <w:r/>
            <w:r>
              <w:rPr>
                <w:rFonts w:ascii="Source Sans Pro" w:hAnsi="Source Sans Pro"/>
                <w:sz w:val="18"/>
              </w:rPr>
              <w:t>5</w:t>
            </w:r>
          </w:p>
        </w:tc>
      </w:tr>
      <w:tr>
        <w:tc>
          <w:tcPr>
            <w:tcW w:type="dxa" w:w="5760"/>
            <w:shd w:fill="ffffff" w:val="clear"/>
          </w:tcPr>
          <w:p>
            <w:r/>
            <w:r>
              <w:rPr>
                <w:rFonts w:ascii="Source Sans Pro" w:hAnsi="Source Sans Pro"/>
                <w:sz w:val="18"/>
              </w:rPr>
              <w:t>Project Services</w:t>
            </w:r>
          </w:p>
        </w:tc>
        <w:tc>
          <w:tcPr>
            <w:tcW w:type="dxa" w:w="2160"/>
            <w:shd w:fill="ffffff" w:val="clear"/>
          </w:tcPr>
          <w:p>
            <w:r/>
            <w:r>
              <w:rPr>
                <w:rFonts w:ascii="Source Sans Pro" w:hAnsi="Source Sans Pro"/>
                <w:sz w:val="18"/>
              </w:rPr>
              <w:t>5</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4</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Location</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Lines</w:t>
            </w:r>
          </w:p>
        </w:tc>
        <w:tc>
          <w:tcPr>
            <w:tcW w:type="dxa" w:w="2160"/>
            <w:shd w:fill="ffffff" w:val="clear"/>
          </w:tcPr>
          <w:p>
            <w:r/>
            <w:r>
              <w:rPr>
                <w:rFonts w:ascii="Source Sans Pro" w:hAnsi="Source Sans Pro"/>
                <w:sz w:val="18"/>
              </w:rPr>
              <w:t>6</w:t>
            </w:r>
          </w:p>
        </w:tc>
      </w:tr>
      <w:tr>
        <w:tc>
          <w:tcPr>
            <w:tcW w:type="dxa" w:w="5760"/>
            <w:shd w:fill="f0f5fa" w:val="clear"/>
          </w:tcPr>
          <w:p>
            <w:r/>
            <w:r>
              <w:rPr>
                <w:rFonts w:ascii="Source Sans Pro" w:hAnsi="Source Sans Pro"/>
                <w:sz w:val="18"/>
              </w:rPr>
              <w:t>Project Services</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Yallourn Station</w:t>
            </w:r>
          </w:p>
        </w:tc>
        <w:tc>
          <w:tcPr>
            <w:tcW w:type="dxa" w:w="2160"/>
            <w:shd w:fill="ffffff" w:val="clear"/>
          </w:tcPr>
          <w:p>
            <w:r/>
            <w:r>
              <w:rPr>
                <w:rFonts w:ascii="Source Sans Pro" w:hAnsi="Source Sans Pro"/>
                <w:sz w:val="18"/>
              </w:rPr>
              <w:t>4</w:t>
            </w:r>
          </w:p>
        </w:tc>
      </w:tr>
      <w:tr>
        <w:tc>
          <w:tcPr>
            <w:tcW w:type="dxa" w:w="5760"/>
            <w:shd w:fill="f0f5fa" w:val="clear"/>
          </w:tcPr>
          <w:p>
            <w:r/>
            <w:r>
              <w:rPr>
                <w:rFonts w:ascii="Source Sans Pro" w:hAnsi="Source Sans Pro"/>
                <w:sz w:val="18"/>
              </w:rPr>
              <w:t>Mechanical - North</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Stations</w:t>
            </w:r>
          </w:p>
        </w:tc>
        <w:tc>
          <w:tcPr>
            <w:tcW w:type="dxa" w:w="2160"/>
            <w:shd w:fill="ffffff" w:val="clear"/>
          </w:tcPr>
          <w:p>
            <w:r/>
            <w:r>
              <w:rPr>
                <w:rFonts w:ascii="Source Sans Pro" w:hAnsi="Source Sans Pro"/>
                <w:sz w:val="18"/>
              </w:rPr>
              <w:t>3</w:t>
            </w:r>
          </w:p>
        </w:tc>
      </w:tr>
      <w:tr>
        <w:tc>
          <w:tcPr>
            <w:tcW w:type="dxa" w:w="5760"/>
            <w:shd w:fill="f0f5fa" w:val="clear"/>
          </w:tcPr>
          <w:p>
            <w:r/>
            <w:r>
              <w:rPr>
                <w:rFonts w:ascii="Source Sans Pro" w:hAnsi="Source Sans Pro"/>
                <w:sz w:val="18"/>
              </w:rPr>
              <w:t>Generation</w:t>
            </w:r>
          </w:p>
        </w:tc>
        <w:tc>
          <w:tcPr>
            <w:tcW w:type="dxa" w:w="2160"/>
            <w:shd w:fill="f0f5fa" w:val="clear"/>
          </w:tcPr>
          <w:p>
            <w:r/>
            <w:r>
              <w:rPr>
                <w:rFonts w:ascii="Source Sans Pro" w:hAnsi="Source Sans Pro"/>
                <w:sz w:val="18"/>
              </w:rPr>
              <w:t>3</w:t>
            </w:r>
          </w:p>
        </w:tc>
      </w:tr>
      <w:tr>
        <w:tc>
          <w:tcPr>
            <w:tcW w:type="dxa" w:w="5760"/>
            <w:shd w:fill="ffffff" w:val="clear"/>
          </w:tcPr>
          <w:p>
            <w:r/>
            <w:r>
              <w:rPr>
                <w:rFonts w:ascii="Source Sans Pro" w:hAnsi="Source Sans Pro"/>
                <w:sz w:val="18"/>
              </w:rPr>
              <w:t>Industrial and Distribution</w:t>
            </w:r>
          </w:p>
        </w:tc>
        <w:tc>
          <w:tcPr>
            <w:tcW w:type="dxa" w:w="2160"/>
            <w:shd w:fill="ffffff" w:val="clear"/>
          </w:tcPr>
          <w:p>
            <w:r/>
            <w:r>
              <w:rPr>
                <w:rFonts w:ascii="Source Sans Pro" w:hAnsi="Source Sans Pro"/>
                <w:sz w:val="18"/>
              </w:rPr>
              <w:t>2</w:t>
            </w:r>
          </w:p>
        </w:tc>
      </w:tr>
    </w:tbl>
    <w:p/>
    <w:p>
      <w:pPr>
        <w:pStyle w:val="Heading2"/>
      </w:pPr>
      <w:r>
        <w:t>3.7 Serious Event Timing</w:t>
      </w:r>
    </w:p>
    <w:p>
      <w:r>
        <w:rPr>
          <w:rFonts w:ascii="Source Sans Pro" w:hAnsi="Source Sans Pro"/>
          <w:b w:val="0"/>
          <w:i w:val="0"/>
          <w:color w:val="0B3254"/>
          <w:sz w:val="22"/>
        </w:rPr>
        <w:t>Time-of-day information was available for 100.0% of serious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Time of Day</w:t>
            </w:r>
          </w:p>
        </w:tc>
        <w:tc>
          <w:tcPr>
            <w:tcW w:type="dxa" w:w="2160"/>
            <w:shd w:fill="0b3254" w:val="clear"/>
          </w:tcPr>
          <w:p>
            <w:r/>
            <w:r>
              <w:rPr>
                <w:rFonts w:ascii="Source Sans Pro" w:hAnsi="Source Sans Pro"/>
                <w:b/>
                <w:color w:val="FFFFFF"/>
                <w:sz w:val="18"/>
              </w:rPr>
              <w:t>Serious Events</w:t>
            </w:r>
          </w:p>
        </w:tc>
      </w:tr>
      <w:tr>
        <w:tc>
          <w:tcPr>
            <w:tcW w:type="dxa" w:w="5040"/>
            <w:shd w:fill="f0f5fa" w:val="clear"/>
          </w:tcPr>
          <w:p>
            <w:r/>
            <w:r>
              <w:rPr>
                <w:rFonts w:ascii="Source Sans Pro" w:hAnsi="Source Sans Pro"/>
                <w:sz w:val="18"/>
              </w:rPr>
              <w:t>Afternoon (12:00-17:59)</w:t>
            </w:r>
          </w:p>
        </w:tc>
        <w:tc>
          <w:tcPr>
            <w:tcW w:type="dxa" w:w="2160"/>
            <w:shd w:fill="f0f5fa" w:val="clear"/>
          </w:tcPr>
          <w:p>
            <w:r/>
            <w:r>
              <w:rPr>
                <w:rFonts w:ascii="Source Sans Pro" w:hAnsi="Source Sans Pro"/>
                <w:sz w:val="18"/>
              </w:rPr>
              <w:t>40</w:t>
            </w:r>
          </w:p>
        </w:tc>
      </w:tr>
      <w:tr>
        <w:tc>
          <w:tcPr>
            <w:tcW w:type="dxa" w:w="5040"/>
            <w:shd w:fill="ffffff" w:val="clear"/>
          </w:tcPr>
          <w:p>
            <w:r/>
            <w:r>
              <w:rPr>
                <w:rFonts w:ascii="Source Sans Pro" w:hAnsi="Source Sans Pro"/>
                <w:sz w:val="18"/>
              </w:rPr>
              <w:t>Morning (06:00-11:59)</w:t>
            </w:r>
          </w:p>
        </w:tc>
        <w:tc>
          <w:tcPr>
            <w:tcW w:type="dxa" w:w="2160"/>
            <w:shd w:fill="ffffff" w:val="clear"/>
          </w:tcPr>
          <w:p>
            <w:r/>
            <w:r>
              <w:rPr>
                <w:rFonts w:ascii="Source Sans Pro" w:hAnsi="Source Sans Pro"/>
                <w:sz w:val="18"/>
              </w:rPr>
              <w:t>30</w:t>
            </w:r>
          </w:p>
        </w:tc>
      </w:tr>
      <w:tr>
        <w:tc>
          <w:tcPr>
            <w:tcW w:type="dxa" w:w="5040"/>
            <w:shd w:fill="f0f5fa" w:val="clear"/>
          </w:tcPr>
          <w:p>
            <w:r/>
            <w:r>
              <w:rPr>
                <w:rFonts w:ascii="Source Sans Pro" w:hAnsi="Source Sans Pro"/>
                <w:sz w:val="18"/>
              </w:rPr>
              <w:t>Evening (18:00-23:59)</w:t>
            </w:r>
          </w:p>
        </w:tc>
        <w:tc>
          <w:tcPr>
            <w:tcW w:type="dxa" w:w="2160"/>
            <w:shd w:fill="f0f5fa" w:val="clear"/>
          </w:tcPr>
          <w:p>
            <w:r/>
            <w:r>
              <w:rPr>
                <w:rFonts w:ascii="Source Sans Pro" w:hAnsi="Source Sans Pro"/>
                <w:sz w:val="18"/>
              </w:rPr>
              <w:t>14</w:t>
            </w:r>
          </w:p>
        </w:tc>
      </w:tr>
      <w:tr>
        <w:tc>
          <w:tcPr>
            <w:tcW w:type="dxa" w:w="5040"/>
            <w:shd w:fill="ffffff" w:val="clear"/>
          </w:tcPr>
          <w:p>
            <w:r/>
            <w:r>
              <w:rPr>
                <w:rFonts w:ascii="Source Sans Pro" w:hAnsi="Source Sans Pro"/>
                <w:sz w:val="18"/>
              </w:rPr>
              <w:t>Night (00:00-05:59)</w:t>
            </w:r>
          </w:p>
        </w:tc>
        <w:tc>
          <w:tcPr>
            <w:tcW w:type="dxa" w:w="2160"/>
            <w:shd w:fill="ffffff" w:val="clear"/>
          </w:tcPr>
          <w:p>
            <w:r/>
            <w:r>
              <w:rPr>
                <w:rFonts w:ascii="Source Sans Pro" w:hAnsi="Source Sans Pro"/>
                <w:sz w:val="18"/>
              </w:rPr>
              <w:t>4</w:t>
            </w:r>
          </w:p>
        </w:tc>
      </w:tr>
    </w:tbl>
    <w:p/>
    <w:p>
      <w:pPr>
        <w:pStyle w:val="Heading2"/>
      </w:pPr>
      <w:r>
        <w:t>3.8 Motor Vehicle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Value</w:t>
            </w:r>
          </w:p>
        </w:tc>
      </w:tr>
      <w:tr>
        <w:tc>
          <w:tcPr>
            <w:tcW w:type="dxa" w:w="5040"/>
            <w:shd w:fill="f0f5fa" w:val="clear"/>
          </w:tcPr>
          <w:p>
            <w:r/>
            <w:r>
              <w:rPr>
                <w:rFonts w:ascii="Source Sans Pro" w:hAnsi="Source Sans Pro"/>
                <w:sz w:val="18"/>
              </w:rPr>
              <w:t>Total Motor Vehicle Events</w:t>
            </w:r>
          </w:p>
        </w:tc>
        <w:tc>
          <w:tcPr>
            <w:tcW w:type="dxa" w:w="2880"/>
            <w:shd w:fill="f0f5fa" w:val="clear"/>
          </w:tcPr>
          <w:p>
            <w:r/>
            <w:r>
              <w:rPr>
                <w:rFonts w:ascii="Source Sans Pro" w:hAnsi="Source Sans Pro"/>
                <w:sz w:val="18"/>
              </w:rPr>
              <w:t>279</w:t>
            </w:r>
          </w:p>
        </w:tc>
      </w:tr>
      <w:tr>
        <w:tc>
          <w:tcPr>
            <w:tcW w:type="dxa" w:w="5040"/>
            <w:shd w:fill="ffffff" w:val="clear"/>
          </w:tcPr>
          <w:p>
            <w:r/>
            <w:r>
              <w:rPr>
                <w:rFonts w:ascii="Source Sans Pro" w:hAnsi="Source Sans Pro"/>
                <w:sz w:val="18"/>
              </w:rPr>
              <w:t>Share of All Events</w:t>
            </w:r>
          </w:p>
        </w:tc>
        <w:tc>
          <w:tcPr>
            <w:tcW w:type="dxa" w:w="2880"/>
            <w:shd w:fill="ffffff" w:val="clear"/>
          </w:tcPr>
          <w:p>
            <w:r/>
            <w:r>
              <w:rPr>
                <w:rFonts w:ascii="Source Sans Pro" w:hAnsi="Source Sans Pro"/>
                <w:sz w:val="18"/>
              </w:rPr>
              <w:t>10.6%</w:t>
            </w:r>
          </w:p>
        </w:tc>
      </w:tr>
      <w:tr>
        <w:tc>
          <w:tcPr>
            <w:tcW w:type="dxa" w:w="5040"/>
            <w:shd w:fill="f0f5fa" w:val="clear"/>
          </w:tcPr>
          <w:p>
            <w:r/>
            <w:r>
              <w:rPr>
                <w:rFonts w:ascii="Source Sans Pro" w:hAnsi="Source Sans Pro"/>
                <w:sz w:val="18"/>
              </w:rPr>
              <w:t>Moderate+ MV Events</w:t>
            </w:r>
          </w:p>
        </w:tc>
        <w:tc>
          <w:tcPr>
            <w:tcW w:type="dxa" w:w="2880"/>
            <w:shd w:fill="f0f5fa" w:val="clear"/>
          </w:tcPr>
          <w:p>
            <w:r/>
            <w:r>
              <w:rPr>
                <w:rFonts w:ascii="Source Sans Pro" w:hAnsi="Source Sans Pro"/>
                <w:sz w:val="18"/>
              </w:rPr>
              <w:t>7</w:t>
            </w:r>
          </w:p>
        </w:tc>
      </w:tr>
      <w:tr>
        <w:tc>
          <w:tcPr>
            <w:tcW w:type="dxa" w:w="5040"/>
            <w:shd w:fill="ffffff" w:val="clear"/>
          </w:tcPr>
          <w:p>
            <w:r/>
            <w:r>
              <w:rPr>
                <w:rFonts w:ascii="Source Sans Pro" w:hAnsi="Source Sans Pro"/>
                <w:sz w:val="18"/>
              </w:rPr>
              <w:t>Serious Rate Within MV Events</w:t>
            </w:r>
          </w:p>
        </w:tc>
        <w:tc>
          <w:tcPr>
            <w:tcW w:type="dxa" w:w="2880"/>
            <w:shd w:fill="ffffff" w:val="clear"/>
          </w:tcPr>
          <w:p>
            <w:r/>
            <w:r>
              <w:rPr>
                <w:rFonts w:ascii="Source Sans Pro" w:hAnsi="Source Sans Pro"/>
                <w:sz w:val="18"/>
              </w:rPr>
              <w:t>2.5%</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MV Events</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37</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30</w:t>
            </w:r>
          </w:p>
        </w:tc>
      </w:tr>
      <w:tr>
        <w:tc>
          <w:tcPr>
            <w:tcW w:type="dxa" w:w="5760"/>
            <w:shd w:fill="f0f5fa" w:val="clear"/>
          </w:tcPr>
          <w:p>
            <w:r/>
            <w:r>
              <w:rPr>
                <w:rFonts w:ascii="Source Sans Pro" w:hAnsi="Source Sans Pro"/>
                <w:sz w:val="18"/>
              </w:rPr>
              <w:t>ENR NZ South</w:t>
            </w:r>
          </w:p>
        </w:tc>
        <w:tc>
          <w:tcPr>
            <w:tcW w:type="dxa" w:w="2160"/>
            <w:shd w:fill="f0f5fa" w:val="clear"/>
          </w:tcPr>
          <w:p>
            <w:r/>
            <w:r>
              <w:rPr>
                <w:rFonts w:ascii="Source Sans Pro" w:hAnsi="Source Sans Pro"/>
                <w:sz w:val="18"/>
              </w:rPr>
              <w:t>30</w:t>
            </w:r>
          </w:p>
        </w:tc>
      </w:tr>
      <w:tr>
        <w:tc>
          <w:tcPr>
            <w:tcW w:type="dxa" w:w="5760"/>
            <w:shd w:fill="ffffff" w:val="clear"/>
          </w:tcPr>
          <w:p>
            <w:r/>
            <w:r>
              <w:rPr>
                <w:rFonts w:ascii="Source Sans Pro" w:hAnsi="Source Sans Pro"/>
                <w:sz w:val="18"/>
              </w:rPr>
              <w:t>Utilita</w:t>
            </w:r>
          </w:p>
        </w:tc>
        <w:tc>
          <w:tcPr>
            <w:tcW w:type="dxa" w:w="2160"/>
            <w:shd w:fill="ffffff" w:val="clear"/>
          </w:tcPr>
          <w:p>
            <w:r/>
            <w:r>
              <w:rPr>
                <w:rFonts w:ascii="Source Sans Pro" w:hAnsi="Source Sans Pro"/>
                <w:sz w:val="18"/>
              </w:rPr>
              <w:t>22</w:t>
            </w:r>
          </w:p>
        </w:tc>
      </w:tr>
      <w:tr>
        <w:tc>
          <w:tcPr>
            <w:tcW w:type="dxa" w:w="5760"/>
            <w:shd w:fill="f0f5fa" w:val="clear"/>
          </w:tcPr>
          <w:p>
            <w:r/>
            <w:r>
              <w:rPr>
                <w:rFonts w:ascii="Source Sans Pro" w:hAnsi="Source Sans Pro"/>
                <w:sz w:val="18"/>
              </w:rPr>
              <w:t>ENR NZ North</w:t>
            </w:r>
          </w:p>
        </w:tc>
        <w:tc>
          <w:tcPr>
            <w:tcW w:type="dxa" w:w="2160"/>
            <w:shd w:fill="f0f5fa" w:val="clear"/>
          </w:tcPr>
          <w:p>
            <w:r/>
            <w:r>
              <w:rPr>
                <w:rFonts w:ascii="Source Sans Pro" w:hAnsi="Source Sans Pro"/>
                <w:sz w:val="18"/>
              </w:rPr>
              <w:t>22</w:t>
            </w:r>
          </w:p>
        </w:tc>
      </w:tr>
      <w:tr>
        <w:tc>
          <w:tcPr>
            <w:tcW w:type="dxa" w:w="5760"/>
            <w:shd w:fill="ffffff" w:val="clear"/>
          </w:tcPr>
          <w:p>
            <w:r/>
            <w:r>
              <w:rPr>
                <w:rFonts w:ascii="Source Sans Pro" w:hAnsi="Source Sans Pro"/>
                <w:sz w:val="18"/>
              </w:rPr>
              <w:t>Water Environmental Monitoring</w:t>
            </w:r>
          </w:p>
        </w:tc>
        <w:tc>
          <w:tcPr>
            <w:tcW w:type="dxa" w:w="2160"/>
            <w:shd w:fill="ffffff" w:val="clear"/>
          </w:tcPr>
          <w:p>
            <w:r/>
            <w:r>
              <w:rPr>
                <w:rFonts w:ascii="Source Sans Pro" w:hAnsi="Source Sans Pro"/>
                <w:sz w:val="18"/>
              </w:rPr>
              <w:t>13</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12</w:t>
            </w:r>
          </w:p>
        </w:tc>
      </w:tr>
      <w:tr>
        <w:tc>
          <w:tcPr>
            <w:tcW w:type="dxa" w:w="5760"/>
            <w:shd w:fill="ffffff" w:val="clear"/>
          </w:tcPr>
          <w:p>
            <w:r/>
            <w:r>
              <w:rPr>
                <w:rFonts w:ascii="Source Sans Pro" w:hAnsi="Source Sans Pro"/>
                <w:sz w:val="18"/>
              </w:rPr>
              <w:t>SEQWater Collaborative Asset Services</w:t>
            </w:r>
          </w:p>
        </w:tc>
        <w:tc>
          <w:tcPr>
            <w:tcW w:type="dxa" w:w="2160"/>
            <w:shd w:fill="ffffff" w:val="clear"/>
          </w:tcPr>
          <w:p>
            <w:r/>
            <w:r>
              <w:rPr>
                <w:rFonts w:ascii="Source Sans Pro" w:hAnsi="Source Sans Pro"/>
                <w:sz w:val="18"/>
              </w:rPr>
              <w:t>12</w:t>
            </w:r>
          </w:p>
        </w:tc>
      </w:tr>
    </w:tbl>
    <w:p/>
    <w:tbl>
      <w:tblPr>
        <w:tblStyle w:val="TableGrid"/>
        <w:tblW w:type="auto" w:w="0"/>
        <w:jc w:val="left"/>
        <w:tblLook w:firstColumn="1" w:firstRow="1" w:lastColumn="0" w:lastRow="0" w:noHBand="0" w:noVBand="1" w:val="04A0"/>
      </w:tblPr>
      <w:tblGrid>
        <w:gridCol w:w="3475"/>
        <w:gridCol w:w="3475"/>
        <w:gridCol w:w="3475"/>
      </w:tblGrid>
      <w:tr>
        <w:tc>
          <w:tcPr>
            <w:tcW w:type="dxa" w:w="2160"/>
            <w:shd w:fill="0b3254" w:val="clear"/>
          </w:tcPr>
          <w:p>
            <w:r/>
            <w:r>
              <w:rPr>
                <w:rFonts w:ascii="Source Sans Pro" w:hAnsi="Source Sans Pro"/>
                <w:b/>
                <w:color w:val="FFFFFF"/>
                <w:sz w:val="18"/>
              </w:rPr>
              <w:t>Category</w:t>
            </w:r>
          </w:p>
        </w:tc>
        <w:tc>
          <w:tcPr>
            <w:tcW w:type="dxa" w:w="4320"/>
            <w:shd w:fill="0b3254" w:val="clear"/>
          </w:tcPr>
          <w:p>
            <w:r/>
            <w:r>
              <w:rPr>
                <w:rFonts w:ascii="Source Sans Pro" w:hAnsi="Source Sans Pro"/>
                <w:b/>
                <w:color w:val="FFFFFF"/>
                <w:sz w:val="18"/>
              </w:rPr>
              <w:t>Pattern</w:t>
            </w:r>
          </w:p>
        </w:tc>
        <w:tc>
          <w:tcPr>
            <w:tcW w:type="dxa" w:w="1440"/>
            <w:shd w:fill="0b3254" w:val="clear"/>
          </w:tcPr>
          <w:p>
            <w:r/>
            <w:r>
              <w:rPr>
                <w:rFonts w:ascii="Source Sans Pro" w:hAnsi="Source Sans Pro"/>
                <w:b/>
                <w:color w:val="FFFFFF"/>
                <w:sz w:val="18"/>
              </w:rPr>
              <w:t>Count</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Main Road</w:t>
            </w:r>
          </w:p>
        </w:tc>
        <w:tc>
          <w:tcPr>
            <w:tcW w:type="dxa" w:w="1440"/>
            <w:shd w:fill="f0f5fa" w:val="clear"/>
          </w:tcPr>
          <w:p>
            <w:r/>
            <w:r>
              <w:rPr>
                <w:rFonts w:ascii="Source Sans Pro" w:hAnsi="Source Sans Pro"/>
                <w:sz w:val="18"/>
              </w:rPr>
              <w:t>82</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Drive/Carpark</w:t>
            </w:r>
          </w:p>
        </w:tc>
        <w:tc>
          <w:tcPr>
            <w:tcW w:type="dxa" w:w="1440"/>
            <w:shd w:fill="ffffff" w:val="clear"/>
          </w:tcPr>
          <w:p>
            <w:r/>
            <w:r>
              <w:rPr>
                <w:rFonts w:ascii="Source Sans Pro" w:hAnsi="Source Sans Pro"/>
                <w:sz w:val="18"/>
              </w:rPr>
              <w:t>76</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Off Road</w:t>
            </w:r>
          </w:p>
        </w:tc>
        <w:tc>
          <w:tcPr>
            <w:tcW w:type="dxa" w:w="1440"/>
            <w:shd w:fill="f0f5fa" w:val="clear"/>
          </w:tcPr>
          <w:p>
            <w:r/>
            <w:r>
              <w:rPr>
                <w:rFonts w:ascii="Source Sans Pro" w:hAnsi="Source Sans Pro"/>
                <w:sz w:val="18"/>
              </w:rPr>
              <w:t>53</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Quiet Street</w:t>
            </w:r>
          </w:p>
        </w:tc>
        <w:tc>
          <w:tcPr>
            <w:tcW w:type="dxa" w:w="1440"/>
            <w:shd w:fill="ffffff" w:val="clear"/>
          </w:tcPr>
          <w:p>
            <w:r/>
            <w:r>
              <w:rPr>
                <w:rFonts w:ascii="Source Sans Pro" w:hAnsi="Source Sans Pro"/>
                <w:sz w:val="18"/>
              </w:rPr>
              <w:t>45</w:t>
            </w:r>
          </w:p>
        </w:tc>
      </w:tr>
      <w:tr>
        <w:tc>
          <w:tcPr>
            <w:tcW w:type="dxa" w:w="2160"/>
            <w:shd w:fill="f0f5fa" w:val="clear"/>
          </w:tcPr>
          <w:p>
            <w:r/>
            <w:r>
              <w:rPr>
                <w:rFonts w:ascii="Source Sans Pro" w:hAnsi="Source Sans Pro"/>
                <w:sz w:val="18"/>
              </w:rPr>
              <w:t>Road Condition</w:t>
            </w:r>
          </w:p>
        </w:tc>
        <w:tc>
          <w:tcPr>
            <w:tcW w:type="dxa" w:w="4320"/>
            <w:shd w:fill="f0f5fa" w:val="clear"/>
          </w:tcPr>
          <w:p>
            <w:r/>
            <w:r>
              <w:rPr>
                <w:rFonts w:ascii="Source Sans Pro" w:hAnsi="Source Sans Pro"/>
                <w:sz w:val="18"/>
              </w:rPr>
              <w:t>Sealed</w:t>
            </w:r>
          </w:p>
        </w:tc>
        <w:tc>
          <w:tcPr>
            <w:tcW w:type="dxa" w:w="1440"/>
            <w:shd w:fill="f0f5fa" w:val="clear"/>
          </w:tcPr>
          <w:p>
            <w:r/>
            <w:r>
              <w:rPr>
                <w:rFonts w:ascii="Source Sans Pro" w:hAnsi="Source Sans Pro"/>
                <w:sz w:val="18"/>
              </w:rPr>
              <w:t>208</w:t>
            </w:r>
          </w:p>
        </w:tc>
      </w:tr>
      <w:tr>
        <w:tc>
          <w:tcPr>
            <w:tcW w:type="dxa" w:w="2160"/>
            <w:shd w:fill="ffffff" w:val="clear"/>
          </w:tcPr>
          <w:p>
            <w:r/>
            <w:r>
              <w:rPr>
                <w:rFonts w:ascii="Source Sans Pro" w:hAnsi="Source Sans Pro"/>
                <w:sz w:val="18"/>
              </w:rPr>
              <w:t>Road Condition</w:t>
            </w:r>
          </w:p>
        </w:tc>
        <w:tc>
          <w:tcPr>
            <w:tcW w:type="dxa" w:w="4320"/>
            <w:shd w:fill="ffffff" w:val="clear"/>
          </w:tcPr>
          <w:p>
            <w:r/>
            <w:r>
              <w:rPr>
                <w:rFonts w:ascii="Source Sans Pro" w:hAnsi="Source Sans Pro"/>
                <w:sz w:val="18"/>
              </w:rPr>
              <w:t>Unsealed</w:t>
            </w:r>
          </w:p>
        </w:tc>
        <w:tc>
          <w:tcPr>
            <w:tcW w:type="dxa" w:w="1440"/>
            <w:shd w:fill="ffffff" w:val="clear"/>
          </w:tcPr>
          <w:p>
            <w:r/>
            <w:r>
              <w:rPr>
                <w:rFonts w:ascii="Source Sans Pro" w:hAnsi="Source Sans Pro"/>
                <w:sz w:val="18"/>
              </w:rPr>
              <w:t>70</w:t>
            </w:r>
          </w:p>
        </w:tc>
      </w:tr>
      <w:tr>
        <w:tc>
          <w:tcPr>
            <w:tcW w:type="dxa" w:w="2160"/>
            <w:shd w:fill="f0f5fa" w:val="clear"/>
          </w:tcPr>
          <w:p>
            <w:r/>
            <w:r>
              <w:rPr>
                <w:rFonts w:ascii="Source Sans Pro" w:hAnsi="Source Sans Pro"/>
                <w:sz w:val="18"/>
              </w:rPr>
              <w:t>Vehicle Type</w:t>
            </w:r>
          </w:p>
        </w:tc>
        <w:tc>
          <w:tcPr>
            <w:tcW w:type="dxa" w:w="4320"/>
            <w:shd w:fill="f0f5fa" w:val="clear"/>
          </w:tcPr>
          <w:p>
            <w:r/>
            <w:r>
              <w:rPr>
                <w:rFonts w:ascii="Source Sans Pro" w:hAnsi="Source Sans Pro"/>
                <w:sz w:val="18"/>
              </w:rPr>
              <w:t>Light Vehicle</w:t>
            </w:r>
          </w:p>
        </w:tc>
        <w:tc>
          <w:tcPr>
            <w:tcW w:type="dxa" w:w="1440"/>
            <w:shd w:fill="f0f5fa" w:val="clear"/>
          </w:tcPr>
          <w:p>
            <w:r/>
            <w:r>
              <w:rPr>
                <w:rFonts w:ascii="Source Sans Pro" w:hAnsi="Source Sans Pro"/>
                <w:sz w:val="18"/>
              </w:rPr>
              <w:t>203</w:t>
            </w:r>
          </w:p>
        </w:tc>
      </w:tr>
      <w:tr>
        <w:tc>
          <w:tcPr>
            <w:tcW w:type="dxa" w:w="2160"/>
            <w:shd w:fill="ffffff" w:val="clear"/>
          </w:tcPr>
          <w:p>
            <w:r/>
            <w:r>
              <w:rPr>
                <w:rFonts w:ascii="Source Sans Pro" w:hAnsi="Source Sans Pro"/>
                <w:sz w:val="18"/>
              </w:rPr>
              <w:t>Vehicle Type</w:t>
            </w:r>
          </w:p>
        </w:tc>
        <w:tc>
          <w:tcPr>
            <w:tcW w:type="dxa" w:w="4320"/>
            <w:shd w:fill="ffffff" w:val="clear"/>
          </w:tcPr>
          <w:p>
            <w:r/>
            <w:r>
              <w:rPr>
                <w:rFonts w:ascii="Source Sans Pro" w:hAnsi="Source Sans Pro"/>
                <w:sz w:val="18"/>
              </w:rPr>
              <w:t>Heavy Vehicle</w:t>
            </w:r>
          </w:p>
        </w:tc>
        <w:tc>
          <w:tcPr>
            <w:tcW w:type="dxa" w:w="1440"/>
            <w:shd w:fill="ffffff" w:val="clear"/>
          </w:tcPr>
          <w:p>
            <w:r/>
            <w:r>
              <w:rPr>
                <w:rFonts w:ascii="Source Sans Pro" w:hAnsi="Source Sans Pro"/>
                <w:sz w:val="18"/>
              </w:rPr>
              <w:t>75</w:t>
            </w:r>
          </w:p>
        </w:tc>
      </w:tr>
    </w:tbl>
    <w:p/>
    <w:p>
      <w:r>
        <w:br w:type="page"/>
      </w:r>
    </w:p>
    <w:p>
      <w:pPr>
        <w:pStyle w:val="Heading1"/>
      </w:pPr>
      <w:r>
        <w:t>4. Safety Energy — Leading Activity Overview</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Leading Activity Readout</w:t>
            </w:r>
          </w:p>
          <w:p>
            <w:r>
              <w:rPr>
                <w:rFonts w:ascii="Source Sans Pro" w:hAnsi="Source Sans Pro"/>
                <w:b w:val="0"/>
                <w:i w:val="0"/>
                <w:color w:val="0B3254"/>
                <w:sz w:val="20"/>
              </w:rPr>
              <w:t>Safety Energy combines LLC, CCC, and OCC activity. The deeper two-year review is designed to show not just volume, but whether the records look rich, preventive, and useful for leadership learning.</w:t>
            </w:r>
          </w:p>
        </w:tc>
      </w:tr>
    </w:tbl>
    <w:p/>
    <w:p>
      <w:pPr>
        <w:pStyle w:val="Heading2"/>
      </w:pPr>
      <w:r>
        <w:t>4.1 Activity Type Mix</w:t>
      </w:r>
    </w:p>
    <w:p>
      <w:r>
        <w:drawing>
          <wp:inline xmlns:a="http://schemas.openxmlformats.org/drawingml/2006/main" xmlns:pic="http://schemas.openxmlformats.org/drawingml/2006/picture">
            <wp:extent cx="4114800" cy="4370030"/>
            <wp:docPr id="6" name="Picture 6"/>
            <wp:cNvGraphicFramePr>
              <a:graphicFrameLocks noChangeAspect="1"/>
            </wp:cNvGraphicFramePr>
            <a:graphic>
              <a:graphicData uri="http://schemas.openxmlformats.org/drawingml/2006/picture">
                <pic:pic>
                  <pic:nvPicPr>
                    <pic:cNvPr id="0" name="ch_activity_mix.png"/>
                    <pic:cNvPicPr/>
                  </pic:nvPicPr>
                  <pic:blipFill>
                    <a:blip r:embed="rId14"/>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7" name="Picture 7"/>
            <wp:cNvGraphicFramePr>
              <a:graphicFrameLocks noChangeAspect="1"/>
            </wp:cNvGraphicFramePr>
            <a:graphic>
              <a:graphicData uri="http://schemas.openxmlformats.org/drawingml/2006/picture">
                <pic:pic>
                  <pic:nvPicPr>
                    <pic:cNvPr id="0" name="ch_leading_monthly.png"/>
                    <pic:cNvPicPr/>
                  </pic:nvPicPr>
                  <pic:blipFill>
                    <a:blip r:embed="rId15"/>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8" name="Picture 8"/>
            <wp:cNvGraphicFramePr>
              <a:graphicFrameLocks noChangeAspect="1"/>
            </wp:cNvGraphicFramePr>
            <a:graphic>
              <a:graphicData uri="http://schemas.openxmlformats.org/drawingml/2006/picture">
                <pic:pic>
                  <pic:nvPicPr>
                    <pic:cNvPr id="0" name="ch_llc_topics.png"/>
                    <pic:cNvPicPr/>
                  </pic:nvPicPr>
                  <pic:blipFill>
                    <a:blip r:embed="rId16"/>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9" name="Picture 9"/>
            <wp:cNvGraphicFramePr>
              <a:graphicFrameLocks noChangeAspect="1"/>
            </wp:cNvGraphicFramePr>
            <a:graphic>
              <a:graphicData uri="http://schemas.openxmlformats.org/drawingml/2006/picture">
                <pic:pic>
                  <pic:nvPicPr>
                    <pic:cNvPr id="0" name="ch_crp_focus.png"/>
                    <pic:cNvPicPr/>
                  </pic:nvPicPr>
                  <pic:blipFill>
                    <a:blip r:embed="rId17"/>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10" name="Picture 10"/>
            <wp:cNvGraphicFramePr>
              <a:graphicFrameLocks noChangeAspect="1"/>
            </wp:cNvGraphicFramePr>
            <a:graphic>
              <a:graphicData uri="http://schemas.openxmlformats.org/drawingml/2006/picture">
                <pic:pic>
                  <pic:nvPicPr>
                    <pic:cNvPr id="0" name="ch_top_leaders.png"/>
                    <pic:cNvPicPr/>
                  </pic:nvPicPr>
                  <pic:blipFill>
                    <a:blip r:embed="rId18"/>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input depth across useful fields,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11" name="Picture 11"/>
            <wp:cNvGraphicFramePr>
              <a:graphicFrameLocks noChangeAspect="1"/>
            </wp:cNvGraphicFramePr>
            <a:graphic>
              <a:graphicData uri="http://schemas.openxmlformats.org/drawingml/2006/picture">
                <pic:pic>
                  <pic:nvPicPr>
                    <pic:cNvPr id="0" name="ch_quality_trend.png"/>
                    <pic:cNvPicPr/>
                  </pic:nvPicPr>
                  <pic:blipFill>
                    <a:blip r:embed="rId19"/>
                    <a:stretch>
                      <a:fillRect/>
                    </a:stretch>
                  </pic:blipFill>
                  <pic:spPr>
                    <a:xfrm>
                      <a:off x="0" y="0"/>
                      <a:ext cx="5486400" cy="1967826"/>
                    </a:xfrm>
                    <a:prstGeom prst="rect"/>
                  </pic:spPr>
                </pic:pic>
              </a:graphicData>
            </a:graphic>
          </wp:inline>
        </w:drawing>
      </w:r>
    </w:p>
    <w:p/>
    <w:p>
      <w:r>
        <w:drawing>
          <wp:inline xmlns:a="http://schemas.openxmlformats.org/drawingml/2006/main" xmlns:pic="http://schemas.openxmlformats.org/drawingml/2006/picture">
            <wp:extent cx="5486400" cy="2410966"/>
            <wp:docPr id="12" name="Picture 12"/>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tbl>
      <w:tblPr>
        <w:tblStyle w:val="TableGrid"/>
        <w:tblW w:type="auto" w:w="0"/>
        <w:jc w:val="left"/>
        <w:tblLook w:firstColumn="1" w:firstRow="1" w:lastColumn="0" w:lastRow="0" w:noHBand="0" w:noVBand="1" w:val="04A0"/>
      </w:tblPr>
      <w:tblGrid>
        <w:gridCol w:w="1303"/>
        <w:gridCol w:w="1303"/>
        <w:gridCol w:w="1303"/>
        <w:gridCol w:w="1303"/>
        <w:gridCol w:w="1303"/>
        <w:gridCol w:w="1303"/>
        <w:gridCol w:w="1303"/>
        <w:gridCol w:w="1303"/>
      </w:tblGrid>
      <w:tr>
        <w:tc>
          <w:tcPr>
            <w:tcW w:type="dxa" w:w="1152"/>
            <w:shd w:fill="0b3254" w:val="clear"/>
          </w:tcPr>
          <w:p>
            <w:r/>
            <w:r>
              <w:rPr>
                <w:rFonts w:ascii="Source Sans Pro" w:hAnsi="Source Sans Pro"/>
                <w:b/>
                <w:color w:val="FFFFFF"/>
                <w:sz w:val="18"/>
              </w:rPr>
              <w:t>Type</w:t>
            </w:r>
          </w:p>
        </w:tc>
        <w:tc>
          <w:tcPr>
            <w:tcW w:type="dxa" w:w="1152"/>
            <w:shd w:fill="0b3254" w:val="clear"/>
          </w:tcPr>
          <w:p>
            <w:r/>
            <w:r>
              <w:rPr>
                <w:rFonts w:ascii="Source Sans Pro" w:hAnsi="Source Sans Pro"/>
                <w:b/>
                <w:color w:val="FFFFFF"/>
                <w:sz w:val="18"/>
              </w:rPr>
              <w:t>Count</w:t>
            </w:r>
          </w:p>
        </w:tc>
        <w:tc>
          <w:tcPr>
            <w:tcW w:type="dxa" w:w="1296"/>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c>
          <w:tcPr>
            <w:tcW w:type="dxa" w:w="1296"/>
            <w:shd w:fill="0b3254" w:val="clear"/>
          </w:tcPr>
          <w:p>
            <w:r/>
            <w:r>
              <w:rPr>
                <w:rFonts w:ascii="Source Sans Pro" w:hAnsi="Source Sans Pro"/>
                <w:b/>
                <w:color w:val="FFFFFF"/>
                <w:sz w:val="18"/>
              </w:rPr>
              <w:t>Follow-up</w:t>
            </w:r>
          </w:p>
        </w:tc>
      </w:tr>
      <w:tr>
        <w:tc>
          <w:tcPr>
            <w:tcW w:type="dxa" w:w="1152"/>
            <w:shd w:fill="f0f5fa" w:val="clear"/>
          </w:tcPr>
          <w:p>
            <w:r/>
            <w:r>
              <w:rPr>
                <w:rFonts w:ascii="Source Sans Pro" w:hAnsi="Source Sans Pro"/>
                <w:sz w:val="18"/>
              </w:rPr>
              <w:t>LLC</w:t>
            </w:r>
          </w:p>
        </w:tc>
        <w:tc>
          <w:tcPr>
            <w:tcW w:type="dxa" w:w="1152"/>
            <w:shd w:fill="f0f5fa" w:val="clear"/>
          </w:tcPr>
          <w:p>
            <w:r/>
            <w:r>
              <w:rPr>
                <w:rFonts w:ascii="Source Sans Pro" w:hAnsi="Source Sans Pro"/>
                <w:sz w:val="18"/>
              </w:rPr>
              <w:t>5954</w:t>
            </w:r>
          </w:p>
        </w:tc>
        <w:tc>
          <w:tcPr>
            <w:tcW w:type="dxa" w:w="1296"/>
            <w:shd w:fill="f0f5fa" w:val="clear"/>
          </w:tcPr>
          <w:p>
            <w:r/>
            <w:r>
              <w:rPr>
                <w:rFonts w:ascii="Source Sans Pro" w:hAnsi="Source Sans Pro"/>
                <w:sz w:val="18"/>
              </w:rPr>
              <w:t>58.2</w:t>
            </w:r>
          </w:p>
        </w:tc>
        <w:tc>
          <w:tcPr>
            <w:tcW w:type="dxa" w:w="1440"/>
            <w:shd w:fill="f0f5fa" w:val="clear"/>
          </w:tcPr>
          <w:p>
            <w:r/>
            <w:r>
              <w:rPr>
                <w:rFonts w:ascii="Source Sans Pro" w:hAnsi="Source Sans Pro"/>
                <w:sz w:val="18"/>
              </w:rPr>
              <w:t>55.9</w:t>
            </w:r>
          </w:p>
        </w:tc>
        <w:tc>
          <w:tcPr>
            <w:tcW w:type="dxa" w:w="1296"/>
            <w:shd w:fill="f0f5fa" w:val="clear"/>
          </w:tcPr>
          <w:p>
            <w:r/>
            <w:r>
              <w:rPr>
                <w:rFonts w:ascii="Source Sans Pro" w:hAnsi="Source Sans Pro"/>
                <w:sz w:val="18"/>
              </w:rPr>
              <w:t>61.5%</w:t>
            </w:r>
          </w:p>
        </w:tc>
        <w:tc>
          <w:tcPr>
            <w:tcW w:type="dxa" w:w="1296"/>
            <w:shd w:fill="f0f5fa" w:val="clear"/>
          </w:tcPr>
          <w:p>
            <w:r/>
            <w:r>
              <w:rPr>
                <w:rFonts w:ascii="Source Sans Pro" w:hAnsi="Source Sans Pro"/>
                <w:sz w:val="18"/>
              </w:rPr>
              <w:t>19.8%</w:t>
            </w:r>
          </w:p>
        </w:tc>
        <w:tc>
          <w:tcPr>
            <w:tcW w:type="dxa" w:w="1296"/>
            <w:shd w:fill="f0f5fa" w:val="clear"/>
          </w:tcPr>
          <w:p>
            <w:r/>
            <w:r>
              <w:rPr>
                <w:rFonts w:ascii="Source Sans Pro" w:hAnsi="Source Sans Pro"/>
                <w:sz w:val="18"/>
              </w:rPr>
              <w:t>2.8%</w:t>
            </w:r>
          </w:p>
        </w:tc>
        <w:tc>
          <w:tcPr>
            <w:tcW w:type="dxa" w:w="1296"/>
            <w:shd w:fill="f0f5fa" w:val="clear"/>
          </w:tcPr>
          <w:p>
            <w:r/>
            <w:r>
              <w:rPr>
                <w:rFonts w:ascii="Source Sans Pro" w:hAnsi="Source Sans Pro"/>
                <w:sz w:val="18"/>
              </w:rPr>
              <w:t>42.2%</w:t>
            </w:r>
          </w:p>
        </w:tc>
      </w:tr>
      <w:tr>
        <w:tc>
          <w:tcPr>
            <w:tcW w:type="dxa" w:w="1152"/>
            <w:shd w:fill="ffffff" w:val="clear"/>
          </w:tcPr>
          <w:p>
            <w:r/>
            <w:r>
              <w:rPr>
                <w:rFonts w:ascii="Source Sans Pro" w:hAnsi="Source Sans Pro"/>
                <w:sz w:val="18"/>
              </w:rPr>
              <w:t>CCC</w:t>
            </w:r>
          </w:p>
        </w:tc>
        <w:tc>
          <w:tcPr>
            <w:tcW w:type="dxa" w:w="1152"/>
            <w:shd w:fill="ffffff" w:val="clear"/>
          </w:tcPr>
          <w:p>
            <w:r/>
            <w:r>
              <w:rPr>
                <w:rFonts w:ascii="Source Sans Pro" w:hAnsi="Source Sans Pro"/>
                <w:sz w:val="18"/>
              </w:rPr>
              <w:t>7730</w:t>
            </w:r>
          </w:p>
        </w:tc>
        <w:tc>
          <w:tcPr>
            <w:tcW w:type="dxa" w:w="1296"/>
            <w:shd w:fill="ffffff" w:val="clear"/>
          </w:tcPr>
          <w:p>
            <w:r/>
            <w:r>
              <w:rPr>
                <w:rFonts w:ascii="Source Sans Pro" w:hAnsi="Source Sans Pro"/>
                <w:sz w:val="18"/>
              </w:rPr>
              <w:t>28.2</w:t>
            </w:r>
          </w:p>
        </w:tc>
        <w:tc>
          <w:tcPr>
            <w:tcW w:type="dxa" w:w="1440"/>
            <w:shd w:fill="ffffff" w:val="clear"/>
          </w:tcPr>
          <w:p>
            <w:r/>
            <w:r>
              <w:rPr>
                <w:rFonts w:ascii="Source Sans Pro" w:hAnsi="Source Sans Pro"/>
                <w:sz w:val="18"/>
              </w:rPr>
              <w:t>40.2</w:t>
            </w:r>
          </w:p>
        </w:tc>
        <w:tc>
          <w:tcPr>
            <w:tcW w:type="dxa" w:w="1296"/>
            <w:shd w:fill="ffffff" w:val="clear"/>
          </w:tcPr>
          <w:p>
            <w:r/>
            <w:r>
              <w:rPr>
                <w:rFonts w:ascii="Source Sans Pro" w:hAnsi="Source Sans Pro"/>
                <w:sz w:val="18"/>
              </w:rPr>
              <w:t>6.5%</w:t>
            </w:r>
          </w:p>
        </w:tc>
        <w:tc>
          <w:tcPr>
            <w:tcW w:type="dxa" w:w="1296"/>
            <w:shd w:fill="ffffff" w:val="clear"/>
          </w:tcPr>
          <w:p>
            <w:r/>
            <w:r>
              <w:rPr>
                <w:rFonts w:ascii="Source Sans Pro" w:hAnsi="Source Sans Pro"/>
                <w:sz w:val="18"/>
              </w:rPr>
              <w:t>1.4%</w:t>
            </w:r>
          </w:p>
        </w:tc>
        <w:tc>
          <w:tcPr>
            <w:tcW w:type="dxa" w:w="1296"/>
            <w:shd w:fill="ffffff" w:val="clear"/>
          </w:tcPr>
          <w:p>
            <w:r/>
            <w:r>
              <w:rPr>
                <w:rFonts w:ascii="Source Sans Pro" w:hAnsi="Source Sans Pro"/>
                <w:sz w:val="18"/>
              </w:rPr>
              <w:t>68.3%</w:t>
            </w:r>
          </w:p>
        </w:tc>
        <w:tc>
          <w:tcPr>
            <w:tcW w:type="dxa" w:w="1296"/>
            <w:shd w:fill="ffffff" w:val="clear"/>
          </w:tcPr>
          <w:p>
            <w:r/>
            <w:r>
              <w:rPr>
                <w:rFonts w:ascii="Source Sans Pro" w:hAnsi="Source Sans Pro"/>
                <w:sz w:val="18"/>
              </w:rPr>
              <w:t>16.4%</w:t>
            </w:r>
          </w:p>
        </w:tc>
      </w:tr>
      <w:tr>
        <w:tc>
          <w:tcPr>
            <w:tcW w:type="dxa" w:w="1152"/>
            <w:shd w:fill="f0f5fa" w:val="clear"/>
          </w:tcPr>
          <w:p>
            <w:r/>
            <w:r>
              <w:rPr>
                <w:rFonts w:ascii="Source Sans Pro" w:hAnsi="Source Sans Pro"/>
                <w:sz w:val="18"/>
              </w:rPr>
              <w:t>OCC</w:t>
            </w:r>
          </w:p>
        </w:tc>
        <w:tc>
          <w:tcPr>
            <w:tcW w:type="dxa" w:w="1152"/>
            <w:shd w:fill="f0f5fa" w:val="clear"/>
          </w:tcPr>
          <w:p>
            <w:r/>
            <w:r>
              <w:rPr>
                <w:rFonts w:ascii="Source Sans Pro" w:hAnsi="Source Sans Pro"/>
                <w:sz w:val="18"/>
              </w:rPr>
              <w:t>5789</w:t>
            </w:r>
          </w:p>
        </w:tc>
        <w:tc>
          <w:tcPr>
            <w:tcW w:type="dxa" w:w="1296"/>
            <w:shd w:fill="f0f5fa" w:val="clear"/>
          </w:tcPr>
          <w:p>
            <w:r/>
            <w:r>
              <w:rPr>
                <w:rFonts w:ascii="Source Sans Pro" w:hAnsi="Source Sans Pro"/>
                <w:sz w:val="18"/>
              </w:rPr>
              <w:t>10.4</w:t>
            </w:r>
          </w:p>
        </w:tc>
        <w:tc>
          <w:tcPr>
            <w:tcW w:type="dxa" w:w="1440"/>
            <w:shd w:fill="f0f5fa" w:val="clear"/>
          </w:tcPr>
          <w:p>
            <w:r/>
            <w:r>
              <w:rPr>
                <w:rFonts w:ascii="Source Sans Pro" w:hAnsi="Source Sans Pro"/>
                <w:sz w:val="18"/>
              </w:rPr>
              <w:t>34.3</w:t>
            </w:r>
          </w:p>
        </w:tc>
        <w:tc>
          <w:tcPr>
            <w:tcW w:type="dxa" w:w="1296"/>
            <w:shd w:fill="f0f5fa" w:val="clear"/>
          </w:tcPr>
          <w:p>
            <w:r/>
            <w:r>
              <w:rPr>
                <w:rFonts w:ascii="Source Sans Pro" w:hAnsi="Source Sans Pro"/>
                <w:sz w:val="18"/>
              </w:rPr>
              <w:t>1.5%</w:t>
            </w:r>
          </w:p>
        </w:tc>
        <w:tc>
          <w:tcPr>
            <w:tcW w:type="dxa" w:w="1296"/>
            <w:shd w:fill="f0f5fa" w:val="clear"/>
          </w:tcPr>
          <w:p>
            <w:r/>
            <w:r>
              <w:rPr>
                <w:rFonts w:ascii="Source Sans Pro" w:hAnsi="Source Sans Pro"/>
                <w:sz w:val="18"/>
              </w:rPr>
              <w:t>0.3%</w:t>
            </w:r>
          </w:p>
        </w:tc>
        <w:tc>
          <w:tcPr>
            <w:tcW w:type="dxa" w:w="1296"/>
            <w:shd w:fill="f0f5fa" w:val="clear"/>
          </w:tcPr>
          <w:p>
            <w:r/>
            <w:r>
              <w:rPr>
                <w:rFonts w:ascii="Source Sans Pro" w:hAnsi="Source Sans Pro"/>
                <w:sz w:val="18"/>
              </w:rPr>
              <w:t>91.9%</w:t>
            </w:r>
          </w:p>
        </w:tc>
        <w:tc>
          <w:tcPr>
            <w:tcW w:type="dxa" w:w="1296"/>
            <w:shd w:fill="f0f5fa" w:val="clear"/>
          </w:tcPr>
          <w:p>
            <w:r/>
            <w:r>
              <w:rPr>
                <w:rFonts w:ascii="Source Sans Pro" w:hAnsi="Source Sans Pro"/>
                <w:sz w:val="18"/>
              </w:rPr>
              <w:t>10.0%</w:t>
            </w:r>
          </w:p>
        </w:tc>
      </w:tr>
    </w:tbl>
    <w:p/>
    <w:p>
      <w:pPr>
        <w:pStyle w:val="Heading2"/>
      </w:pPr>
      <w:r>
        <w:t>4.8 Input Depth as a Supporting Quality Metric</w:t>
      </w:r>
    </w:p>
    <w:p>
      <w:r>
        <w:rPr>
          <w:rFonts w:ascii="Source Sans Pro" w:hAnsi="Source Sans Pro"/>
          <w:b w:val="0"/>
          <w:i w:val="0"/>
          <w:color w:val="0B3254"/>
          <w:sz w:val="22"/>
        </w:rPr>
        <w:t>Across the two-year Safety Energy window, input depth and quality score are correlated at r = 0.82. Input depth appears usable as a supporting quality metric.</w:t>
      </w:r>
    </w:p>
    <w:tbl>
      <w:tblPr>
        <w:tblStyle w:val="TableGrid"/>
        <w:tblW w:type="auto" w:w="0"/>
        <w:jc w:val="left"/>
        <w:tblLook w:firstColumn="1" w:firstRow="1" w:lastColumn="0" w:lastRow="0" w:noHBand="0" w:noVBand="1" w:val="04A0"/>
      </w:tblPr>
      <w:tblGrid>
        <w:gridCol w:w="1489"/>
        <w:gridCol w:w="1489"/>
        <w:gridCol w:w="1489"/>
        <w:gridCol w:w="1489"/>
        <w:gridCol w:w="1489"/>
        <w:gridCol w:w="1489"/>
        <w:gridCol w:w="1489"/>
      </w:tblGrid>
      <w:tr>
        <w:tc>
          <w:tcPr>
            <w:tcW w:type="dxa" w:w="1296"/>
            <w:shd w:fill="0b3254" w:val="clear"/>
          </w:tcPr>
          <w:p>
            <w:r/>
            <w:r>
              <w:rPr>
                <w:rFonts w:ascii="Source Sans Pro" w:hAnsi="Source Sans Pro"/>
                <w:b/>
                <w:color w:val="FFFFFF"/>
                <w:sz w:val="18"/>
              </w:rPr>
              <w:t>Band</w:t>
            </w:r>
          </w:p>
        </w:tc>
        <w:tc>
          <w:tcPr>
            <w:tcW w:type="dxa" w:w="1152"/>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Avg Quality</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Light</w:t>
            </w:r>
          </w:p>
        </w:tc>
        <w:tc>
          <w:tcPr>
            <w:tcW w:type="dxa" w:w="1152"/>
            <w:shd w:fill="f0f5fa" w:val="clear"/>
          </w:tcPr>
          <w:p>
            <w:r/>
            <w:r>
              <w:rPr>
                <w:rFonts w:ascii="Source Sans Pro" w:hAnsi="Source Sans Pro"/>
                <w:sz w:val="18"/>
              </w:rPr>
              <w:t>7266</w:t>
            </w:r>
          </w:p>
        </w:tc>
        <w:tc>
          <w:tcPr>
            <w:tcW w:type="dxa" w:w="1440"/>
            <w:shd w:fill="f0f5fa" w:val="clear"/>
          </w:tcPr>
          <w:p>
            <w:r/>
            <w:r>
              <w:rPr>
                <w:rFonts w:ascii="Source Sans Pro" w:hAnsi="Source Sans Pro"/>
                <w:sz w:val="18"/>
              </w:rPr>
              <w:t>33.3</w:t>
            </w:r>
          </w:p>
        </w:tc>
        <w:tc>
          <w:tcPr>
            <w:tcW w:type="dxa" w:w="1296"/>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0.8%</w:t>
            </w:r>
          </w:p>
        </w:tc>
        <w:tc>
          <w:tcPr>
            <w:tcW w:type="dxa" w:w="1296"/>
            <w:shd w:fill="f0f5fa" w:val="clear"/>
          </w:tcPr>
          <w:p>
            <w:r/>
            <w:r>
              <w:rPr>
                <w:rFonts w:ascii="Source Sans Pro" w:hAnsi="Source Sans Pro"/>
                <w:sz w:val="18"/>
              </w:rPr>
              <w:t>0.1%</w:t>
            </w:r>
          </w:p>
        </w:tc>
        <w:tc>
          <w:tcPr>
            <w:tcW w:type="dxa" w:w="1296"/>
            <w:shd w:fill="f0f5fa" w:val="clear"/>
          </w:tcPr>
          <w:p>
            <w:r/>
            <w:r>
              <w:rPr>
                <w:rFonts w:ascii="Source Sans Pro" w:hAnsi="Source Sans Pro"/>
                <w:sz w:val="18"/>
              </w:rPr>
              <w:t>92.9%</w:t>
            </w:r>
          </w:p>
        </w:tc>
      </w:tr>
      <w:tr>
        <w:tc>
          <w:tcPr>
            <w:tcW w:type="dxa" w:w="1296"/>
            <w:shd w:fill="ffffff" w:val="clear"/>
          </w:tcPr>
          <w:p>
            <w:r/>
            <w:r>
              <w:rPr>
                <w:rFonts w:ascii="Source Sans Pro" w:hAnsi="Source Sans Pro"/>
                <w:sz w:val="18"/>
              </w:rPr>
              <w:t>Balanced</w:t>
            </w:r>
          </w:p>
        </w:tc>
        <w:tc>
          <w:tcPr>
            <w:tcW w:type="dxa" w:w="1152"/>
            <w:shd w:fill="ffffff" w:val="clear"/>
          </w:tcPr>
          <w:p>
            <w:r/>
            <w:r>
              <w:rPr>
                <w:rFonts w:ascii="Source Sans Pro" w:hAnsi="Source Sans Pro"/>
                <w:sz w:val="18"/>
              </w:rPr>
              <w:t>9867</w:t>
            </w:r>
          </w:p>
        </w:tc>
        <w:tc>
          <w:tcPr>
            <w:tcW w:type="dxa" w:w="1440"/>
            <w:shd w:fill="ffffff" w:val="clear"/>
          </w:tcPr>
          <w:p>
            <w:r/>
            <w:r>
              <w:rPr>
                <w:rFonts w:ascii="Source Sans Pro" w:hAnsi="Source Sans Pro"/>
                <w:sz w:val="18"/>
              </w:rPr>
              <w:t>45.6</w:t>
            </w:r>
          </w:p>
        </w:tc>
        <w:tc>
          <w:tcPr>
            <w:tcW w:type="dxa" w:w="1296"/>
            <w:shd w:fill="ffffff" w:val="clear"/>
          </w:tcPr>
          <w:p>
            <w:r/>
            <w:r>
              <w:rPr>
                <w:rFonts w:ascii="Source Sans Pro" w:hAnsi="Source Sans Pro"/>
                <w:sz w:val="18"/>
              </w:rPr>
              <w:t>41.2</w:t>
            </w:r>
          </w:p>
        </w:tc>
        <w:tc>
          <w:tcPr>
            <w:tcW w:type="dxa" w:w="1296"/>
            <w:shd w:fill="ffffff" w:val="clear"/>
          </w:tcPr>
          <w:p>
            <w:r/>
            <w:r>
              <w:rPr>
                <w:rFonts w:ascii="Source Sans Pro" w:hAnsi="Source Sans Pro"/>
                <w:sz w:val="18"/>
              </w:rPr>
              <w:t>26.6%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40.4%</w:t>
            </w:r>
          </w:p>
        </w:tc>
      </w:tr>
      <w:tr>
        <w:tc>
          <w:tcPr>
            <w:tcW w:type="dxa" w:w="1296"/>
            <w:shd w:fill="f0f5fa" w:val="clear"/>
          </w:tcPr>
          <w:p>
            <w:r/>
            <w:r>
              <w:rPr>
                <w:rFonts w:ascii="Source Sans Pro" w:hAnsi="Source Sans Pro"/>
                <w:sz w:val="18"/>
              </w:rPr>
              <w:t>Rich</w:t>
            </w:r>
          </w:p>
        </w:tc>
        <w:tc>
          <w:tcPr>
            <w:tcW w:type="dxa" w:w="1152"/>
            <w:shd w:fill="f0f5fa" w:val="clear"/>
          </w:tcPr>
          <w:p>
            <w:r/>
            <w:r>
              <w:rPr>
                <w:rFonts w:ascii="Source Sans Pro" w:hAnsi="Source Sans Pro"/>
                <w:sz w:val="18"/>
              </w:rPr>
              <w:t>2340</w:t>
            </w:r>
          </w:p>
        </w:tc>
        <w:tc>
          <w:tcPr>
            <w:tcW w:type="dxa" w:w="1440"/>
            <w:shd w:fill="f0f5fa" w:val="clear"/>
          </w:tcPr>
          <w:p>
            <w:r/>
            <w:r>
              <w:rPr>
                <w:rFonts w:ascii="Source Sans Pro" w:hAnsi="Source Sans Pro"/>
                <w:sz w:val="18"/>
              </w:rPr>
              <w:t>64.0</w:t>
            </w:r>
          </w:p>
        </w:tc>
        <w:tc>
          <w:tcPr>
            <w:tcW w:type="dxa" w:w="1296"/>
            <w:shd w:fill="f0f5fa" w:val="clear"/>
          </w:tcPr>
          <w:p>
            <w:r/>
            <w:r>
              <w:rPr>
                <w:rFonts w:ascii="Source Sans Pro" w:hAnsi="Source Sans Pro"/>
                <w:sz w:val="18"/>
              </w:rPr>
              <w:t>60.3</w:t>
            </w:r>
          </w:p>
        </w:tc>
        <w:tc>
          <w:tcPr>
            <w:tcW w:type="dxa" w:w="1296"/>
            <w:shd w:fill="f0f5fa" w:val="clear"/>
          </w:tcPr>
          <w:p>
            <w:r/>
            <w:r>
              <w:rPr>
                <w:rFonts w:ascii="Source Sans Pro" w:hAnsi="Source Sans Pro"/>
                <w:sz w:val="18"/>
              </w:rPr>
              <w:t>66.9%</w:t>
            </w:r>
          </w:p>
        </w:tc>
        <w:tc>
          <w:tcPr>
            <w:tcW w:type="dxa" w:w="1296"/>
            <w:shd w:fill="f0f5fa" w:val="clear"/>
          </w:tcPr>
          <w:p>
            <w:r/>
            <w:r>
              <w:rPr>
                <w:rFonts w:ascii="Source Sans Pro" w:hAnsi="Source Sans Pro"/>
                <w:sz w:val="18"/>
              </w:rPr>
              <w:t>24.9%</w:t>
            </w:r>
          </w:p>
        </w:tc>
        <w:tc>
          <w:tcPr>
            <w:tcW w:type="dxa" w:w="1296"/>
            <w:shd w:fill="f0f5fa" w:val="clear"/>
          </w:tcPr>
          <w:p>
            <w:r/>
            <w:r>
              <w:rPr>
                <w:rFonts w:ascii="Source Sans Pro" w:hAnsi="Source Sans Pro"/>
                <w:sz w:val="18"/>
              </w:rPr>
              <w:t>1.2%</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4.9 CCC / OCCC / LLC Value Signals</w:t>
      </w:r>
    </w:p>
    <w:p>
      <w:r>
        <w:rPr>
          <w:rFonts w:ascii="Source Sans Pro" w:hAnsi="Source Sans Pro"/>
          <w:b w:val="0"/>
          <w:i w:val="0"/>
          <w:color w:val="0B3254"/>
          <w:sz w:val="22"/>
        </w:rPr>
        <w:t>CCC: average quality 28.2/100, average input depth 40.2/100, 28.3% preventive signal, 8.8% reactive signal, 19.1% repetitive signal, 68.3% shallow.</w:t>
      </w:r>
    </w:p>
    <w:p>
      <w:r>
        <w:rPr>
          <w:rFonts w:ascii="Source Sans Pro" w:hAnsi="Source Sans Pro"/>
          <w:b w:val="0"/>
          <w:i w:val="0"/>
          <w:color w:val="64748B"/>
          <w:sz w:val="20"/>
        </w:rPr>
        <w:t>For CCC, input depth vs quality correlation is r = 0.75.</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average input depth 34.3/100, 7.3% preventive signal, 4.9% reactive signal, 23.4% repetitive signal, 91.9% shallow.</w:t>
      </w:r>
    </w:p>
    <w:p>
      <w:r>
        <w:rPr>
          <w:rFonts w:ascii="Source Sans Pro" w:hAnsi="Source Sans Pro"/>
          <w:b w:val="0"/>
          <w:i w:val="0"/>
          <w:color w:val="64748B"/>
          <w:sz w:val="20"/>
        </w:rPr>
        <w:t>For OCC, input depth vs quality correlation is r = 0.66.</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average input depth 55.9/100, 75.7% preventive signal, 12.3% reactive signal, 0.5% repetitive signal, 2.8% shallow.</w:t>
      </w:r>
    </w:p>
    <w:p>
      <w:r>
        <w:rPr>
          <w:rFonts w:ascii="Source Sans Pro" w:hAnsi="Source Sans Pro"/>
          <w:b w:val="0"/>
          <w:i w:val="0"/>
          <w:color w:val="64748B"/>
          <w:sz w:val="20"/>
        </w:rPr>
        <w:t>For LLC, input depth vs quality correlation is r = 0.30.</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13" name="Picture 13"/>
            <wp:cNvGraphicFramePr>
              <a:graphicFrameLocks noChangeAspect="1"/>
            </wp:cNvGraphicFramePr>
            <a:graphic>
              <a:graphicData uri="http://schemas.openxmlformats.org/drawingml/2006/picture">
                <pic:pic>
                  <pic:nvPicPr>
                    <pic:cNvPr id="0" name="ch_overlay.png"/>
                    <pic:cNvPicPr/>
                  </pic:nvPicPr>
                  <pic:blipFill>
                    <a:blip r:embed="rId20"/>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4" name="Picture 14"/>
            <wp:cNvGraphicFramePr>
              <a:graphicFrameLocks noChangeAspect="1"/>
            </wp:cNvGraphicFramePr>
            <a:graphic>
              <a:graphicData uri="http://schemas.openxmlformats.org/drawingml/2006/picture">
                <pic:pic>
                  <pic:nvPicPr>
                    <pic:cNvPr id="0" name="ch_bu_comparison.png"/>
                    <pic:cNvPicPr/>
                  </pic:nvPicPr>
                  <pic:blipFill>
                    <a:blip r:embed="rId21"/>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5" name="Picture 15"/>
            <wp:cNvGraphicFramePr>
              <a:graphicFrameLocks noChangeAspect="1"/>
            </wp:cNvGraphicFramePr>
            <a:graphic>
              <a:graphicData uri="http://schemas.openxmlformats.org/drawingml/2006/picture">
                <pic:pic>
                  <pic:nvPicPr>
                    <pic:cNvPr id="0" name="ch_at_risk_themes.png"/>
                    <pic:cNvPicPr/>
                  </pic:nvPicPr>
                  <pic:blipFill>
                    <a:blip r:embed="rId22"/>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Fatigue</w:t>
      </w:r>
    </w:p>
    <w:p>
      <w:pPr>
        <w:pStyle w:val="ListBullet"/>
      </w:pPr>
      <w:r>
        <w:rPr>
          <w:rFonts w:ascii="Source Sans Pro" w:hAnsi="Source Sans Pro"/>
          <w:b w:val="0"/>
          <w:i w:val="0"/>
          <w:color w:val="0B3254"/>
          <w:sz w:val="22"/>
        </w:rPr>
        <w:t>Slips/Trips/Falls</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Coverage vs Outcome</w:t>
            </w:r>
          </w:p>
          <w:p>
            <w:r>
              <w:rPr>
                <w:rFonts w:ascii="Source Sans Pro" w:hAnsi="Source Sans Pro"/>
                <w:b w:val="0"/>
                <w:i w:val="0"/>
                <w:color w:val="0B3254"/>
                <w:sz w:val="20"/>
              </w:rPr>
              <w:t>This section links leading activity coverage to event burden so leaders can see which business units, projects, and locations appear strongest, and which need direct intervention.</w:t>
            </w:r>
          </w:p>
        </w:tc>
      </w:tr>
    </w:tbl>
    <w:p/>
    <w:p>
      <w:pPr>
        <w:pStyle w:val="Heading2"/>
      </w:pPr>
      <w:r>
        <w:t>7.1 Business Unit Comparison</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Project Performance Signals</w:t>
      </w:r>
    </w:p>
    <w:p>
      <w:r>
        <w:rPr>
          <w:rFonts w:ascii="Source Sans Pro" w:hAnsi="Source Sans Pro"/>
          <w:b w:val="0"/>
          <w:i w:val="0"/>
          <w:color w:val="0B3254"/>
          <w:sz w:val="22"/>
        </w:rPr>
        <w:t>These project comparisons use recorded Safety Energy activity against recorded events. They are intended as directional signals only, not league tables.</w:t>
      </w:r>
    </w:p>
    <w:p>
      <w:r>
        <w:drawing>
          <wp:inline xmlns:a="http://schemas.openxmlformats.org/drawingml/2006/main" xmlns:pic="http://schemas.openxmlformats.org/drawingml/2006/picture">
            <wp:extent cx="5303520" cy="3732889"/>
            <wp:docPr id="16" name="Picture 16"/>
            <wp:cNvGraphicFramePr>
              <a:graphicFrameLocks noChangeAspect="1"/>
            </wp:cNvGraphicFramePr>
            <a:graphic>
              <a:graphicData uri="http://schemas.openxmlformats.org/drawingml/2006/picture">
                <pic:pic>
                  <pic:nvPicPr>
                    <pic:cNvPr id="0" name="ch_project_quadrant.png"/>
                    <pic:cNvPicPr/>
                  </pic:nvPicPr>
                  <pic:blipFill>
                    <a:blip r:embed="rId10"/>
                    <a:stretch>
                      <a:fillRect/>
                    </a:stretch>
                  </pic:blipFill>
                  <pic:spPr>
                    <a:xfrm>
                      <a:off x="0" y="0"/>
                      <a:ext cx="5303520" cy="3732889"/>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Confluence</w:t>
            </w:r>
          </w:p>
        </w:tc>
        <w:tc>
          <w:tcPr>
            <w:tcW w:type="dxa" w:w="1440"/>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GCIS</w:t>
            </w:r>
          </w:p>
        </w:tc>
        <w:tc>
          <w:tcPr>
            <w:tcW w:type="dxa" w:w="1440"/>
            <w:shd w:fill="ffffff" w:val="clear"/>
          </w:tcPr>
          <w:p>
            <w:r/>
            <w:r>
              <w:rPr>
                <w:rFonts w:ascii="Source Sans Pro" w:hAnsi="Source Sans Pro"/>
                <w:sz w:val="18"/>
              </w:rPr>
              <w:t>39</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QGC</w:t>
            </w:r>
          </w:p>
        </w:tc>
        <w:tc>
          <w:tcPr>
            <w:tcW w:type="dxa" w:w="1440"/>
            <w:shd w:fill="f0f5fa" w:val="clear"/>
          </w:tcPr>
          <w:p>
            <w:r/>
            <w:r>
              <w:rPr>
                <w:rFonts w:ascii="Source Sans Pro" w:hAnsi="Source Sans Pro"/>
                <w:sz w:val="18"/>
              </w:rPr>
              <w:t>34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IT</w:t>
            </w:r>
          </w:p>
        </w:tc>
        <w:tc>
          <w:tcPr>
            <w:tcW w:type="dxa" w:w="1440"/>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Ad Hoc Well Servicing</w:t>
            </w:r>
          </w:p>
        </w:tc>
        <w:tc>
          <w:tcPr>
            <w:tcW w:type="dxa" w:w="1440"/>
            <w:shd w:fill="f0f5fa" w:val="clear"/>
          </w:tcPr>
          <w:p>
            <w:r/>
            <w:r>
              <w:rPr>
                <w:rFonts w:ascii="Source Sans Pro" w:hAnsi="Source Sans Pro"/>
                <w:sz w:val="18"/>
              </w:rPr>
              <w:t>24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Aviation</w:t>
            </w:r>
          </w:p>
        </w:tc>
        <w:tc>
          <w:tcPr>
            <w:tcW w:type="dxa" w:w="1440"/>
            <w:shd w:fill="ffffff" w:val="clear"/>
          </w:tcPr>
          <w:p>
            <w:r/>
            <w:r>
              <w:rPr>
                <w:rFonts w:ascii="Source Sans Pro" w:hAnsi="Source Sans Pro"/>
                <w:sz w:val="18"/>
              </w:rPr>
              <w:t>12</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Energy Projects</w:t>
            </w:r>
          </w:p>
        </w:tc>
        <w:tc>
          <w:tcPr>
            <w:tcW w:type="dxa" w:w="1440"/>
            <w:shd w:fill="f0f5fa" w:val="clear"/>
          </w:tcPr>
          <w:p>
            <w:r/>
            <w:r>
              <w:rPr>
                <w:rFonts w:ascii="Source Sans Pro" w:hAnsi="Source Sans Pro"/>
                <w:sz w:val="18"/>
              </w:rPr>
              <w:t>37</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37.0</w:t>
            </w:r>
          </w:p>
        </w:tc>
      </w:tr>
      <w:tr>
        <w:tc>
          <w:tcPr>
            <w:tcW w:type="dxa" w:w="4032"/>
            <w:shd w:fill="ffffff" w:val="clear"/>
          </w:tcPr>
          <w:p>
            <w:r/>
            <w:r>
              <w:rPr>
                <w:rFonts w:ascii="Source Sans Pro" w:hAnsi="Source Sans Pro"/>
                <w:sz w:val="18"/>
              </w:rPr>
              <w:t>Ventia Engineering Services</w:t>
            </w:r>
          </w:p>
        </w:tc>
        <w:tc>
          <w:tcPr>
            <w:tcW w:type="dxa" w:w="1440"/>
            <w:shd w:fill="ffffff" w:val="clear"/>
          </w:tcPr>
          <w:p>
            <w:r/>
            <w:r>
              <w:rPr>
                <w:rFonts w:ascii="Source Sans Pro" w:hAnsi="Source Sans Pro"/>
                <w:sz w:val="18"/>
              </w:rPr>
              <w:t>182</w:t>
            </w:r>
          </w:p>
        </w:tc>
        <w:tc>
          <w:tcPr>
            <w:tcW w:type="dxa" w:w="1296"/>
            <w:shd w:fill="ffffff" w:val="clear"/>
          </w:tcPr>
          <w:p>
            <w:r/>
            <w:r>
              <w:rPr>
                <w:rFonts w:ascii="Source Sans Pro" w:hAnsi="Source Sans Pro"/>
                <w:sz w:val="18"/>
              </w:rPr>
              <w:t>2</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91.0</w:t>
            </w:r>
          </w:p>
        </w:tc>
      </w:tr>
    </w:tbl>
    <w:p/>
    <w:p>
      <w:r>
        <w:rPr>
          <w:rFonts w:ascii="Source Sans Pro" w:hAnsi="Source Sans Pro"/>
          <w:b/>
          <w:i w:val="0"/>
          <w:color w:val="0B3254"/>
          <w:sz w:val="22"/>
        </w:rPr>
        <w:t>Projects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589</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ENR NZ South</w:t>
            </w:r>
          </w:p>
        </w:tc>
        <w:tc>
          <w:tcPr>
            <w:tcW w:type="dxa" w:w="1440"/>
            <w:shd w:fill="ffffff" w:val="clear"/>
          </w:tcPr>
          <w:p>
            <w:r/>
            <w:r>
              <w:rPr>
                <w:rFonts w:ascii="Source Sans Pro" w:hAnsi="Source Sans Pro"/>
                <w:sz w:val="18"/>
              </w:rPr>
              <w:t>739</w:t>
            </w:r>
          </w:p>
        </w:tc>
        <w:tc>
          <w:tcPr>
            <w:tcW w:type="dxa" w:w="1296"/>
            <w:shd w:fill="ffffff" w:val="clear"/>
          </w:tcPr>
          <w:p>
            <w:r/>
            <w:r>
              <w:rPr>
                <w:rFonts w:ascii="Source Sans Pro" w:hAnsi="Source Sans Pro"/>
                <w:sz w:val="18"/>
              </w:rPr>
              <w:t>189</w:t>
            </w:r>
          </w:p>
        </w:tc>
        <w:tc>
          <w:tcPr>
            <w:tcW w:type="dxa" w:w="1296"/>
            <w:shd w:fill="ffffff" w:val="clear"/>
          </w:tcPr>
          <w:p>
            <w:r/>
            <w:r>
              <w:rPr>
                <w:rFonts w:ascii="Source Sans Pro" w:hAnsi="Source Sans Pro"/>
                <w:sz w:val="18"/>
              </w:rPr>
              <w:t>9</w:t>
            </w:r>
          </w:p>
        </w:tc>
        <w:tc>
          <w:tcPr>
            <w:tcW w:type="dxa" w:w="1872"/>
            <w:shd w:fill="ffffff" w:val="clear"/>
          </w:tcPr>
          <w:p>
            <w:r/>
            <w:r>
              <w:rPr>
                <w:rFonts w:ascii="Source Sans Pro" w:hAnsi="Source Sans Pro"/>
                <w:sz w:val="18"/>
              </w:rPr>
              <w:t>3.9</w:t>
            </w:r>
          </w:p>
        </w:tc>
      </w:tr>
      <w:tr>
        <w:tc>
          <w:tcPr>
            <w:tcW w:type="dxa" w:w="4032"/>
            <w:shd w:fill="f0f5fa" w:val="clear"/>
          </w:tcPr>
          <w:p>
            <w:r/>
            <w:r>
              <w:rPr>
                <w:rFonts w:ascii="Source Sans Pro" w:hAnsi="Source Sans Pro"/>
                <w:sz w:val="18"/>
              </w:rPr>
              <w:t>Utilita</w:t>
            </w:r>
          </w:p>
        </w:tc>
        <w:tc>
          <w:tcPr>
            <w:tcW w:type="dxa" w:w="1440"/>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93</w:t>
            </w:r>
          </w:p>
        </w:tc>
        <w:tc>
          <w:tcPr>
            <w:tcW w:type="dxa" w:w="1296"/>
            <w:shd w:fill="f0f5fa" w:val="clear"/>
          </w:tcPr>
          <w:p>
            <w:r/>
            <w:r>
              <w:rPr>
                <w:rFonts w:ascii="Source Sans Pro" w:hAnsi="Source Sans Pro"/>
                <w:sz w:val="18"/>
              </w:rPr>
              <w:t>8</w:t>
            </w:r>
          </w:p>
        </w:tc>
        <w:tc>
          <w:tcPr>
            <w:tcW w:type="dxa" w:w="1872"/>
            <w:shd w:fill="f0f5fa" w:val="clear"/>
          </w:tcPr>
          <w:p>
            <w:r/>
            <w:r>
              <w:rPr>
                <w:rFonts w:ascii="Source Sans Pro" w:hAnsi="Source Sans Pro"/>
                <w:sz w:val="18"/>
              </w:rPr>
              <w:t>0.7</w:t>
            </w:r>
          </w:p>
        </w:tc>
      </w:tr>
      <w:tr>
        <w:tc>
          <w:tcPr>
            <w:tcW w:type="dxa" w:w="4032"/>
            <w:shd w:fill="ffffff" w:val="clear"/>
          </w:tcPr>
          <w:p>
            <w:r/>
            <w:r>
              <w:rPr>
                <w:rFonts w:ascii="Source Sans Pro" w:hAnsi="Source Sans Pro"/>
                <w:sz w:val="18"/>
              </w:rPr>
              <w:t>WSO</w:t>
            </w:r>
          </w:p>
        </w:tc>
        <w:tc>
          <w:tcPr>
            <w:tcW w:type="dxa" w:w="1440"/>
            <w:shd w:fill="ffffff" w:val="clear"/>
          </w:tcPr>
          <w:p>
            <w:r/>
            <w:r>
              <w:rPr>
                <w:rFonts w:ascii="Source Sans Pro" w:hAnsi="Source Sans Pro"/>
                <w:sz w:val="18"/>
              </w:rPr>
              <w:t>643</w:t>
            </w:r>
          </w:p>
        </w:tc>
        <w:tc>
          <w:tcPr>
            <w:tcW w:type="dxa" w:w="1296"/>
            <w:shd w:fill="ffffff" w:val="clear"/>
          </w:tcPr>
          <w:p>
            <w:r/>
            <w:r>
              <w:rPr>
                <w:rFonts w:ascii="Source Sans Pro" w:hAnsi="Source Sans Pro"/>
                <w:sz w:val="18"/>
              </w:rPr>
              <w:t>251</w:t>
            </w:r>
          </w:p>
        </w:tc>
        <w:tc>
          <w:tcPr>
            <w:tcW w:type="dxa" w:w="1296"/>
            <w:shd w:fill="ffffff" w:val="clear"/>
          </w:tcPr>
          <w:p>
            <w:r/>
            <w:r>
              <w:rPr>
                <w:rFonts w:ascii="Source Sans Pro" w:hAnsi="Source Sans Pro"/>
                <w:sz w:val="18"/>
              </w:rPr>
              <w:t>7</w:t>
            </w:r>
          </w:p>
        </w:tc>
        <w:tc>
          <w:tcPr>
            <w:tcW w:type="dxa" w:w="1872"/>
            <w:shd w:fill="ffffff" w:val="clear"/>
          </w:tcPr>
          <w:p>
            <w:r/>
            <w:r>
              <w:rPr>
                <w:rFonts w:ascii="Source Sans Pro" w:hAnsi="Source Sans Pro"/>
                <w:sz w:val="18"/>
              </w:rPr>
              <w:t>2.6</w:t>
            </w:r>
          </w:p>
        </w:tc>
      </w:tr>
      <w:tr>
        <w:tc>
          <w:tcPr>
            <w:tcW w:type="dxa" w:w="4032"/>
            <w:shd w:fill="f0f5fa" w:val="clear"/>
          </w:tcPr>
          <w:p>
            <w:r/>
            <w:r>
              <w:rPr>
                <w:rFonts w:ascii="Source Sans Pro" w:hAnsi="Source Sans Pro"/>
                <w:sz w:val="18"/>
              </w:rPr>
              <w:t>ENR NZ Central</w:t>
            </w:r>
          </w:p>
        </w:tc>
        <w:tc>
          <w:tcPr>
            <w:tcW w:type="dxa" w:w="1440"/>
            <w:shd w:fill="f0f5fa" w:val="clear"/>
          </w:tcPr>
          <w:p>
            <w:r/>
            <w:r>
              <w:rPr>
                <w:rFonts w:ascii="Source Sans Pro" w:hAnsi="Source Sans Pro"/>
                <w:sz w:val="18"/>
              </w:rPr>
              <w:t>827</w:t>
            </w:r>
          </w:p>
        </w:tc>
        <w:tc>
          <w:tcPr>
            <w:tcW w:type="dxa" w:w="1296"/>
            <w:shd w:fill="f0f5fa" w:val="clear"/>
          </w:tcPr>
          <w:p>
            <w:r/>
            <w:r>
              <w:rPr>
                <w:rFonts w:ascii="Source Sans Pro" w:hAnsi="Source Sans Pro"/>
                <w:sz w:val="18"/>
              </w:rPr>
              <w:t>156</w:t>
            </w:r>
          </w:p>
        </w:tc>
        <w:tc>
          <w:tcPr>
            <w:tcW w:type="dxa" w:w="1296"/>
            <w:shd w:fill="f0f5fa" w:val="clear"/>
          </w:tcPr>
          <w:p>
            <w:r/>
            <w:r>
              <w:rPr>
                <w:rFonts w:ascii="Source Sans Pro" w:hAnsi="Source Sans Pro"/>
                <w:sz w:val="18"/>
              </w:rPr>
              <w:t>5</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Project Services</w:t>
            </w:r>
          </w:p>
        </w:tc>
        <w:tc>
          <w:tcPr>
            <w:tcW w:type="dxa" w:w="1440"/>
            <w:shd w:fill="ffffff" w:val="clear"/>
          </w:tcPr>
          <w:p>
            <w:r/>
            <w:r>
              <w:rPr>
                <w:rFonts w:ascii="Source Sans Pro" w:hAnsi="Source Sans Pro"/>
                <w:sz w:val="18"/>
              </w:rPr>
              <w:t>656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5</w:t>
            </w:r>
          </w:p>
        </w:tc>
        <w:tc>
          <w:tcPr>
            <w:tcW w:type="dxa" w:w="1872"/>
            <w:shd w:fill="ffffff" w:val="clear"/>
          </w:tcPr>
          <w:p>
            <w:r/>
            <w:r>
              <w:rPr>
                <w:rFonts w:ascii="Source Sans Pro" w:hAnsi="Source Sans Pro"/>
                <w:sz w:val="18"/>
              </w:rPr>
              <w:t>9.0</w:t>
            </w:r>
          </w:p>
        </w:tc>
      </w:tr>
    </w:tbl>
    <w:p/>
    <w:p>
      <w:pPr>
        <w:pStyle w:val="Heading2"/>
      </w:pPr>
      <w:r>
        <w:t>7.3 Location Performance Signals</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Integrated Teams</w:t>
            </w:r>
          </w:p>
        </w:tc>
        <w:tc>
          <w:tcPr>
            <w:tcW w:type="dxa" w:w="1440"/>
            <w:shd w:fill="f0f5fa" w:val="clear"/>
          </w:tcPr>
          <w:p>
            <w:r/>
            <w:r>
              <w:rPr>
                <w:rFonts w:ascii="Source Sans Pro" w:hAnsi="Source Sans Pro"/>
                <w:sz w:val="18"/>
              </w:rPr>
              <w:t>144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Zinfra</w:t>
            </w:r>
          </w:p>
        </w:tc>
        <w:tc>
          <w:tcPr>
            <w:tcW w:type="dxa" w:w="1440"/>
            <w:shd w:fill="ffffff" w:val="clear"/>
          </w:tcPr>
          <w:p>
            <w:r/>
            <w:r>
              <w:rPr>
                <w:rFonts w:ascii="Source Sans Pro" w:hAnsi="Source Sans Pro"/>
                <w:sz w:val="18"/>
              </w:rPr>
              <w:t>78</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Port of Brisbane</w:t>
            </w:r>
          </w:p>
        </w:tc>
        <w:tc>
          <w:tcPr>
            <w:tcW w:type="dxa" w:w="1440"/>
            <w:shd w:fill="f0f5fa" w:val="clear"/>
          </w:tcPr>
          <w:p>
            <w:r/>
            <w:r>
              <w:rPr>
                <w:rFonts w:ascii="Source Sans Pro" w:hAnsi="Source Sans Pro"/>
                <w:sz w:val="18"/>
              </w:rPr>
              <w:t>62</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Labour Services</w:t>
            </w:r>
          </w:p>
        </w:tc>
        <w:tc>
          <w:tcPr>
            <w:tcW w:type="dxa" w:w="1440"/>
            <w:shd w:fill="ffffff" w:val="clear"/>
          </w:tcPr>
          <w:p>
            <w:r/>
            <w:r>
              <w:rPr>
                <w:rFonts w:ascii="Source Sans Pro" w:hAnsi="Source Sans Pro"/>
                <w:sz w:val="18"/>
              </w:rPr>
              <w:t>67</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67.0</w:t>
            </w:r>
          </w:p>
        </w:tc>
      </w:tr>
      <w:tr>
        <w:tc>
          <w:tcPr>
            <w:tcW w:type="dxa" w:w="4032"/>
            <w:shd w:fill="f0f5fa" w:val="clear"/>
          </w:tcPr>
          <w:p>
            <w:r/>
            <w:r>
              <w:rPr>
                <w:rFonts w:ascii="Source Sans Pro" w:hAnsi="Source Sans Pro"/>
                <w:sz w:val="18"/>
              </w:rPr>
              <w:t>Lavarack Barracks</w:t>
            </w:r>
          </w:p>
        </w:tc>
        <w:tc>
          <w:tcPr>
            <w:tcW w:type="dxa" w:w="1440"/>
            <w:shd w:fill="f0f5fa" w:val="clear"/>
          </w:tcPr>
          <w:p>
            <w:r/>
            <w:r>
              <w:rPr>
                <w:rFonts w:ascii="Source Sans Pro" w:hAnsi="Source Sans Pro"/>
                <w:sz w:val="18"/>
              </w:rPr>
              <w:t>65</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65.0</w:t>
            </w:r>
          </w:p>
        </w:tc>
      </w:tr>
      <w:tr>
        <w:tc>
          <w:tcPr>
            <w:tcW w:type="dxa" w:w="4032"/>
            <w:shd w:fill="ffffff" w:val="clear"/>
          </w:tcPr>
          <w:p>
            <w:r/>
            <w:r>
              <w:rPr>
                <w:rFonts w:ascii="Source Sans Pro" w:hAnsi="Source Sans Pro"/>
                <w:sz w:val="18"/>
              </w:rPr>
              <w:t>Powerlink BCWF Connection</w:t>
            </w:r>
          </w:p>
        </w:tc>
        <w:tc>
          <w:tcPr>
            <w:tcW w:type="dxa" w:w="1440"/>
            <w:shd w:fill="ffffff" w:val="clear"/>
          </w:tcPr>
          <w:p>
            <w:r/>
            <w:r>
              <w:rPr>
                <w:rFonts w:ascii="Source Sans Pro" w:hAnsi="Source Sans Pro"/>
                <w:sz w:val="18"/>
              </w:rPr>
              <w:t>34</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34.0</w:t>
            </w:r>
          </w:p>
        </w:tc>
      </w:tr>
      <w:tr>
        <w:tc>
          <w:tcPr>
            <w:tcW w:type="dxa" w:w="4032"/>
            <w:shd w:fill="f0f5fa" w:val="clear"/>
          </w:tcPr>
          <w:p>
            <w:r/>
            <w:r>
              <w:rPr>
                <w:rFonts w:ascii="Source Sans Pro" w:hAnsi="Source Sans Pro"/>
                <w:sz w:val="18"/>
              </w:rPr>
              <w:t>Project Stations</w:t>
            </w:r>
          </w:p>
        </w:tc>
        <w:tc>
          <w:tcPr>
            <w:tcW w:type="dxa" w:w="1440"/>
            <w:shd w:fill="f0f5fa" w:val="clear"/>
          </w:tcPr>
          <w:p>
            <w:r/>
            <w:r>
              <w:rPr>
                <w:rFonts w:ascii="Source Sans Pro" w:hAnsi="Source Sans Pro"/>
                <w:sz w:val="18"/>
              </w:rPr>
              <w:t>31</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31.0</w:t>
            </w:r>
          </w:p>
        </w:tc>
      </w:tr>
      <w:tr>
        <w:tc>
          <w:tcPr>
            <w:tcW w:type="dxa" w:w="4032"/>
            <w:shd w:fill="ffffff" w:val="clear"/>
          </w:tcPr>
          <w:p>
            <w:r/>
            <w:r>
              <w:rPr>
                <w:rFonts w:ascii="Source Sans Pro" w:hAnsi="Source Sans Pro"/>
                <w:sz w:val="18"/>
              </w:rPr>
              <w:t>ROMA01 Typhoon</w:t>
            </w:r>
          </w:p>
        </w:tc>
        <w:tc>
          <w:tcPr>
            <w:tcW w:type="dxa" w:w="1440"/>
            <w:shd w:fill="ffffff" w:val="clear"/>
          </w:tcPr>
          <w:p>
            <w:r/>
            <w:r>
              <w:rPr>
                <w:rFonts w:ascii="Source Sans Pro" w:hAnsi="Source Sans Pro"/>
                <w:sz w:val="18"/>
              </w:rPr>
              <w:t>11</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11.0</w:t>
            </w:r>
          </w:p>
        </w:tc>
      </w:tr>
    </w:tbl>
    <w:p/>
    <w:p>
      <w:r>
        <w:rPr>
          <w:rFonts w:ascii="Source Sans Pro" w:hAnsi="Source Sans Pro"/>
          <w:b/>
          <w:i w:val="0"/>
          <w:color w:val="0B3254"/>
          <w:sz w:val="22"/>
        </w:rPr>
        <w:t>Locations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Lines</w:t>
            </w:r>
          </w:p>
        </w:tc>
        <w:tc>
          <w:tcPr>
            <w:tcW w:type="dxa" w:w="1440"/>
            <w:shd w:fill="ffffff" w:val="clear"/>
          </w:tcPr>
          <w:p>
            <w:r/>
            <w:r>
              <w:rPr>
                <w:rFonts w:ascii="Source Sans Pro" w:hAnsi="Source Sans Pro"/>
                <w:sz w:val="18"/>
              </w:rPr>
              <w:t>486</w:t>
            </w:r>
          </w:p>
        </w:tc>
        <w:tc>
          <w:tcPr>
            <w:tcW w:type="dxa" w:w="1296"/>
            <w:shd w:fill="ffffff" w:val="clear"/>
          </w:tcPr>
          <w:p>
            <w:r/>
            <w:r>
              <w:rPr>
                <w:rFonts w:ascii="Source Sans Pro" w:hAnsi="Source Sans Pro"/>
                <w:sz w:val="18"/>
              </w:rPr>
              <w:t>130</w:t>
            </w:r>
          </w:p>
        </w:tc>
        <w:tc>
          <w:tcPr>
            <w:tcW w:type="dxa" w:w="1296"/>
            <w:shd w:fill="ffffff" w:val="clear"/>
          </w:tcPr>
          <w:p>
            <w:r/>
            <w:r>
              <w:rPr>
                <w:rFonts w:ascii="Source Sans Pro" w:hAnsi="Source Sans Pro"/>
                <w:sz w:val="18"/>
              </w:rPr>
              <w:t>6</w:t>
            </w:r>
          </w:p>
        </w:tc>
        <w:tc>
          <w:tcPr>
            <w:tcW w:type="dxa" w:w="1872"/>
            <w:shd w:fill="ffffff" w:val="clear"/>
          </w:tcPr>
          <w:p>
            <w:r/>
            <w:r>
              <w:rPr>
                <w:rFonts w:ascii="Source Sans Pro" w:hAnsi="Source Sans Pro"/>
                <w:sz w:val="18"/>
              </w:rPr>
              <w:t>3.7</w:t>
            </w:r>
          </w:p>
        </w:tc>
      </w:tr>
      <w:tr>
        <w:tc>
          <w:tcPr>
            <w:tcW w:type="dxa" w:w="4032"/>
            <w:shd w:fill="f0f5fa" w:val="clear"/>
          </w:tcPr>
          <w:p>
            <w:r/>
            <w:r>
              <w:rPr>
                <w:rFonts w:ascii="Source Sans Pro" w:hAnsi="Source Sans Pro"/>
                <w:sz w:val="18"/>
              </w:rPr>
              <w:t>Project Services</w:t>
            </w:r>
          </w:p>
        </w:tc>
        <w:tc>
          <w:tcPr>
            <w:tcW w:type="dxa" w:w="1440"/>
            <w:shd w:fill="f0f5fa" w:val="clear"/>
          </w:tcPr>
          <w:p>
            <w:r/>
            <w:r>
              <w:rPr>
                <w:rFonts w:ascii="Source Sans Pro" w:hAnsi="Source Sans Pro"/>
                <w:sz w:val="18"/>
              </w:rPr>
              <w:t>570</w:t>
            </w:r>
          </w:p>
        </w:tc>
        <w:tc>
          <w:tcPr>
            <w:tcW w:type="dxa" w:w="1296"/>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8.4</w:t>
            </w:r>
          </w:p>
        </w:tc>
      </w:tr>
      <w:tr>
        <w:tc>
          <w:tcPr>
            <w:tcW w:type="dxa" w:w="4032"/>
            <w:shd w:fill="ffffff" w:val="clear"/>
          </w:tcPr>
          <w:p>
            <w:r/>
            <w:r>
              <w:rPr>
                <w:rFonts w:ascii="Source Sans Pro" w:hAnsi="Source Sans Pro"/>
                <w:sz w:val="18"/>
              </w:rPr>
              <w:t>Mechanical - North</w:t>
            </w:r>
          </w:p>
        </w:tc>
        <w:tc>
          <w:tcPr>
            <w:tcW w:type="dxa" w:w="1440"/>
            <w:shd w:fill="ffffff" w:val="clear"/>
          </w:tcPr>
          <w:p>
            <w:r/>
            <w:r>
              <w:rPr>
                <w:rFonts w:ascii="Source Sans Pro" w:hAnsi="Source Sans Pro"/>
                <w:sz w:val="18"/>
              </w:rPr>
              <w:t>16</w:t>
            </w:r>
          </w:p>
        </w:tc>
        <w:tc>
          <w:tcPr>
            <w:tcW w:type="dxa" w:w="1296"/>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4</w:t>
            </w:r>
          </w:p>
        </w:tc>
        <w:tc>
          <w:tcPr>
            <w:tcW w:type="dxa" w:w="1872"/>
            <w:shd w:fill="ffffff" w:val="clear"/>
          </w:tcPr>
          <w:p>
            <w:r/>
            <w:r>
              <w:rPr>
                <w:rFonts w:ascii="Source Sans Pro" w:hAnsi="Source Sans Pro"/>
                <w:sz w:val="18"/>
              </w:rPr>
              <w:t>0.6</w:t>
            </w:r>
          </w:p>
        </w:tc>
      </w:tr>
      <w:tr>
        <w:tc>
          <w:tcPr>
            <w:tcW w:type="dxa" w:w="4032"/>
            <w:shd w:fill="f0f5fa" w:val="clear"/>
          </w:tcPr>
          <w:p>
            <w:r/>
            <w:r>
              <w:rPr>
                <w:rFonts w:ascii="Source Sans Pro" w:hAnsi="Source Sans Pro"/>
                <w:sz w:val="18"/>
              </w:rPr>
              <w:t>Yallourn Station</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Stations</w:t>
            </w:r>
          </w:p>
        </w:tc>
        <w:tc>
          <w:tcPr>
            <w:tcW w:type="dxa" w:w="1440"/>
            <w:shd w:fill="ffffff" w:val="clear"/>
          </w:tcPr>
          <w:p>
            <w:r/>
            <w:r>
              <w:rPr>
                <w:rFonts w:ascii="Source Sans Pro" w:hAnsi="Source Sans Pro"/>
                <w:sz w:val="18"/>
              </w:rPr>
              <w:t>888</w:t>
            </w:r>
          </w:p>
        </w:tc>
        <w:tc>
          <w:tcPr>
            <w:tcW w:type="dxa" w:w="1296"/>
            <w:shd w:fill="ffffff" w:val="clear"/>
          </w:tcPr>
          <w:p>
            <w:r/>
            <w:r>
              <w:rPr>
                <w:rFonts w:ascii="Source Sans Pro" w:hAnsi="Source Sans Pro"/>
                <w:sz w:val="18"/>
              </w:rPr>
              <w:t>135</w:t>
            </w:r>
          </w:p>
        </w:tc>
        <w:tc>
          <w:tcPr>
            <w:tcW w:type="dxa" w:w="1296"/>
            <w:shd w:fill="ffffff" w:val="clear"/>
          </w:tcPr>
          <w:p>
            <w:r/>
            <w:r>
              <w:rPr>
                <w:rFonts w:ascii="Source Sans Pro" w:hAnsi="Source Sans Pro"/>
                <w:sz w:val="18"/>
              </w:rPr>
              <w:t>3</w:t>
            </w:r>
          </w:p>
        </w:tc>
        <w:tc>
          <w:tcPr>
            <w:tcW w:type="dxa" w:w="1872"/>
            <w:shd w:fill="ffffff" w:val="clear"/>
          </w:tcPr>
          <w:p>
            <w:r/>
            <w:r>
              <w:rPr>
                <w:rFonts w:ascii="Source Sans Pro" w:hAnsi="Source Sans Pro"/>
                <w:sz w:val="18"/>
              </w:rPr>
              <w:t>6.6</w:t>
            </w:r>
          </w:p>
        </w:tc>
      </w:tr>
    </w:tbl>
    <w:p/>
    <w:p>
      <w:pPr>
        <w:pStyle w:val="Heading2"/>
      </w:pPr>
      <w:r>
        <w:t>7.4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7.5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Pr>
        <w:pStyle w:val="ListBullet"/>
      </w:pPr>
      <w:r>
        <w:rPr>
          <w:rFonts w:ascii="Source Sans Pro" w:hAnsi="Source Sans Pro"/>
          <w:b w:val="0"/>
          <w:i w:val="0"/>
          <w:color w:val="0B3254"/>
          <w:sz w:val="22"/>
        </w:rPr>
        <w:t>Rows with richer input depth are materially more likely to read as meaningful records, so populated-field depth can be used as a practical early warning metric for declining quality.</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7" name="Picture 17"/>
            <wp:cNvGraphicFramePr>
              <a:graphicFrameLocks noChangeAspect="1"/>
            </wp:cNvGraphicFramePr>
            <a:graphic>
              <a:graphicData uri="http://schemas.openxmlformats.org/drawingml/2006/picture">
                <pic:pic>
                  <pic:nvPicPr>
                    <pic:cNvPr id="0" name="ch_low_value_units.png"/>
                    <pic:cNvPicPr/>
                  </pic:nvPicPr>
                  <pic:blipFill>
                    <a:blip r:embed="rId23"/>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Action Agenda</w:t>
            </w:r>
          </w:p>
          <w:p>
            <w:r>
              <w:rPr>
                <w:rFonts w:ascii="Source Sans Pro" w:hAnsi="Source Sans Pro"/>
                <w:b w:val="0"/>
                <w:i w:val="0"/>
                <w:color w:val="0B3254"/>
                <w:sz w:val="20"/>
              </w:rPr>
              <w:t>These actions are generated directly from the event hotspots, leading-activity quality signals, and project/location performance patterns in the report.</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Business Unit 'Sector Overhead' shows declining leading-activity volume in the recent period. Targeted engagement from the sector SHEQ team is recommended.</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'Resources'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'Energy &amp; Renewables'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'Water &amp; Environmental Services'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Focus the next leadership review on project 'Far North Waters', which recorded 112 events and 11 serious events against 589 leading activities.</w:t>
            </w:r>
          </w:p>
        </w:tc>
      </w:tr>
    </w:tbl>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5213"/>
        <w:gridCol w:w="5213"/>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16:17</w:t>
      </w:r>
    </w:p>
    <w:sectPr w:rsidR="00FC693F" w:rsidRPr="0006063C" w:rsidSect="00034616">
      <w:pgSz w:w="12240" w:h="15840"/>
      <w:pgMar w:top="850"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