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type="auto" w:w="0"/>
        <w:tblLook w:firstColumn="1" w:firstRow="1" w:lastColumn="0" w:lastRow="0" w:noHBand="0" w:noVBand="1" w:val="04A0"/>
      </w:tblPr>
      <w:tblGrid>
        <w:gridCol w:w="10426"/>
      </w:tblGrid>
      <w:tr>
        <w:tc>
          <w:tcPr>
            <w:tcW w:type="dxa" w:w="10426"/>
            <w:shd w:fill="0b3254" w:val="clear"/>
          </w:tcPr>
          <w:p>
            <w:pPr>
              <w:jc w:val="left"/>
            </w:pPr>
            <w:r/>
            <w:r>
              <w:rPr>
                <w:rFonts w:ascii="Source Sans Pro" w:hAnsi="Source Sans Pro"/>
                <w:b/>
                <w:i w:val="0"/>
                <w:color w:val="FFFFFF"/>
                <w:sz w:val="52"/>
              </w:rPr>
              <w:t>SHEQ Safety Performance Report</w:t>
            </w:r>
          </w:p>
          <w:p>
            <w:r>
              <w:rPr>
                <w:rFonts w:ascii="Source Sans Pro" w:hAnsi="Source Sans Pro"/>
                <w:b w:val="0"/>
                <w:i w:val="0"/>
                <w:color w:val="D7F2FF"/>
                <w:sz w:val="26"/>
              </w:rPr>
              <w:t>Safety Energy, event risk, and leadership focus areas</w:t>
            </w:r>
          </w:p>
        </w:tc>
      </w:tr>
    </w:tbl>
    <w:p/>
    <w:tbl>
      <w:tblPr>
        <w:tblStyle w:val="TableGrid"/>
        <w:tblW w:type="auto" w:w="0"/>
        <w:jc w:val="left"/>
        <w:tblLook w:firstColumn="1" w:firstRow="1" w:lastColumn="0" w:lastRow="0" w:noHBand="0" w:noVBand="1" w:val="04A0"/>
      </w:tblPr>
      <w:tblGrid>
        <w:gridCol w:w="10426"/>
      </w:tblGrid>
      <w:tr>
        <w:tc>
          <w:tcPr>
            <w:tcW w:type="dxa" w:w="10426"/>
            <w:shd w:fill="eef6fb" w:val="clear"/>
          </w:tcPr>
          <w:p>
            <w:r/>
            <w:r>
              <w:rPr>
                <w:rFonts w:ascii="Source Sans Pro" w:hAnsi="Source Sans Pro"/>
                <w:b/>
                <w:i w:val="0"/>
                <w:color w:val="13B5EA"/>
                <w:sz w:val="22"/>
              </w:rPr>
              <w:t>Report Scope</w:t>
            </w:r>
          </w:p>
          <w:p>
            <w:r>
              <w:rPr>
                <w:rFonts w:ascii="Source Sans Pro" w:hAnsi="Source Sans Pro"/>
                <w:b w:val="0"/>
                <w:i w:val="0"/>
                <w:color w:val="0B3254"/>
                <w:sz w:val="20"/>
              </w:rPr>
              <w:t>Events window: 08 Jul 2023 – 31 Dec 2025. Leading activity window: 01 Jan 2024 – 31 Dec 2025. Built for senior leaders as a concise decision-support pack rather than a compliance summary.</w:t>
            </w:r>
          </w:p>
        </w:tc>
      </w:tr>
    </w:tbl>
    <w:p/>
    <w:tbl>
      <w:tblPr>
        <w:tblStyle w:val="TableGrid"/>
        <w:tblW w:type="auto" w:w="0"/>
        <w:jc w:val="left"/>
        <w:tblLook w:firstColumn="1" w:firstRow="1" w:lastColumn="0" w:lastRow="0" w:noHBand="0" w:noVBand="1" w:val="04A0"/>
      </w:tblPr>
      <w:tblGrid>
        <w:gridCol w:w="5213"/>
        <w:gridCol w:w="5213"/>
      </w:tblGrid>
      <w:tr>
        <w:tc>
          <w:tcPr>
            <w:tcW w:type="dxa" w:w="5213"/>
            <w:shd w:fill="f0f5fa" w:val="clear"/>
          </w:tcPr>
          <w:p>
            <w:pPr>
              <w:jc w:val="center"/>
            </w:pPr>
            <w:r/>
            <w:r>
              <w:rPr>
                <w:rFonts w:ascii="Source Sans Pro" w:hAnsi="Source Sans Pro"/>
                <w:b w:val="0"/>
                <w:i w:val="0"/>
                <w:color w:val="64748B"/>
                <w:sz w:val="16"/>
              </w:rPr>
              <w:t>Generated</w:t>
            </w:r>
          </w:p>
          <w:p>
            <w:pPr>
              <w:jc w:val="center"/>
            </w:pPr>
            <w:r>
              <w:rPr>
                <w:rFonts w:ascii="Source Sans Pro" w:hAnsi="Source Sans Pro"/>
                <w:b/>
                <w:i w:val="0"/>
                <w:color w:val="0B3254"/>
                <w:sz w:val="32"/>
              </w:rPr>
              <w:t>09 Apr 2026</w:t>
            </w:r>
          </w:p>
        </w:tc>
        <w:tc>
          <w:tcPr>
            <w:tcW w:type="dxa" w:w="5213"/>
            <w:shd w:fill="ffffff" w:val="clear"/>
          </w:tcPr>
          <w:p>
            <w:pPr>
              <w:jc w:val="center"/>
            </w:pPr>
            <w:r/>
            <w:r>
              <w:rPr>
                <w:rFonts w:ascii="Source Sans Pro" w:hAnsi="Source Sans Pro"/>
                <w:b w:val="0"/>
                <w:i w:val="0"/>
                <w:color w:val="64748B"/>
                <w:sz w:val="16"/>
              </w:rPr>
              <w:t>Events Coverage</w:t>
            </w:r>
          </w:p>
          <w:p>
            <w:pPr>
              <w:jc w:val="center"/>
            </w:pPr>
            <w:r>
              <w:rPr>
                <w:rFonts w:ascii="Source Sans Pro" w:hAnsi="Source Sans Pro"/>
                <w:b/>
                <w:i w:val="0"/>
                <w:color w:val="0B3254"/>
                <w:sz w:val="32"/>
              </w:rPr>
              <w:t>08 Jul 2023 to 31 Dec 2025</w:t>
            </w:r>
          </w:p>
        </w:tc>
      </w:tr>
      <w:tr>
        <w:tc>
          <w:tcPr>
            <w:tcW w:type="dxa" w:w="5213"/>
            <w:shd w:fill="f0f5fa" w:val="clear"/>
          </w:tcPr>
          <w:p>
            <w:pPr>
              <w:jc w:val="center"/>
            </w:pPr>
            <w:r/>
            <w:r>
              <w:rPr>
                <w:rFonts w:ascii="Source Sans Pro" w:hAnsi="Source Sans Pro"/>
                <w:b w:val="0"/>
                <w:i w:val="0"/>
                <w:color w:val="64748B"/>
                <w:sz w:val="16"/>
              </w:rPr>
              <w:t>Safety Energy Coverage</w:t>
            </w:r>
          </w:p>
          <w:p>
            <w:pPr>
              <w:jc w:val="center"/>
            </w:pPr>
            <w:r>
              <w:rPr>
                <w:rFonts w:ascii="Source Sans Pro" w:hAnsi="Source Sans Pro"/>
                <w:b/>
                <w:i w:val="0"/>
                <w:color w:val="0B3254"/>
                <w:sz w:val="32"/>
              </w:rPr>
              <w:t>01 Jan 2024 to 31 Dec 2025</w:t>
            </w:r>
          </w:p>
        </w:tc>
        <w:tc>
          <w:tcPr>
            <w:tcW w:type="dxa" w:w="5213"/>
            <w:shd w:fill="ffffff" w:val="clear"/>
          </w:tcPr>
          <w:p>
            <w:pPr>
              <w:jc w:val="center"/>
            </w:pPr>
            <w:r/>
            <w:r>
              <w:rPr>
                <w:rFonts w:ascii="Source Sans Pro" w:hAnsi="Source Sans Pro"/>
                <w:b w:val="0"/>
                <w:i w:val="0"/>
                <w:color w:val="64748B"/>
                <w:sz w:val="16"/>
              </w:rPr>
              <w:t>Audience</w:t>
            </w:r>
          </w:p>
          <w:p>
            <w:pPr>
              <w:jc w:val="center"/>
            </w:pPr>
            <w:r>
              <w:rPr>
                <w:rFonts w:ascii="Source Sans Pro" w:hAnsi="Source Sans Pro"/>
                <w:b/>
                <w:i w:val="0"/>
                <w:color w:val="0B3254"/>
                <w:sz w:val="32"/>
              </w:rPr>
              <w:t>Executive / Board</w:t>
            </w:r>
          </w:p>
        </w:tc>
      </w:tr>
    </w:tbl>
    <w:p>
      <w:r>
        <w:br w:type="page"/>
      </w:r>
    </w:p>
    <w:p>
      <w:pPr>
        <w:pStyle w:val="Heading1"/>
      </w:pPr>
      <w:r>
        <w:t>1. Executive Summary</w:t>
      </w:r>
    </w:p>
    <w:tbl>
      <w:tblPr>
        <w:tblStyle w:val="TableGrid"/>
        <w:tblW w:type="auto" w:w="0"/>
        <w:jc w:val="left"/>
        <w:tblLook w:firstColumn="1" w:firstRow="1" w:lastColumn="0" w:lastRow="0" w:noHBand="0" w:noVBand="1" w:val="04A0"/>
      </w:tblPr>
      <w:tblGrid>
        <w:gridCol w:w="10426"/>
      </w:tblGrid>
      <w:tr>
        <w:tc>
          <w:tcPr>
            <w:tcW w:type="dxa" w:w="10426"/>
            <w:shd w:fill="eef6fb" w:val="clear"/>
          </w:tcPr>
          <w:p>
            <w:r/>
            <w:r>
              <w:rPr>
                <w:rFonts w:ascii="Source Sans Pro" w:hAnsi="Source Sans Pro"/>
                <w:b/>
                <w:i w:val="0"/>
                <w:color w:val="13B5EA"/>
                <w:sz w:val="22"/>
              </w:rPr>
              <w:t>Leadership Readout</w:t>
            </w:r>
          </w:p>
          <w:p>
            <w:r>
              <w:rPr>
                <w:rFonts w:ascii="Source Sans Pro" w:hAnsi="Source Sans Pro"/>
                <w:b w:val="0"/>
                <w:i w:val="0"/>
                <w:color w:val="0B3254"/>
                <w:sz w:val="20"/>
              </w:rPr>
              <w:t>This summary highlights where event risk is concentrated, where leading activities appear strongest or weakest, and what senior leaders should prioritise next.</w:t>
            </w:r>
          </w:p>
        </w:tc>
      </w:tr>
    </w:tbl>
    <w:p/>
    <w:tbl>
      <w:tblPr>
        <w:tblStyle w:val="TableGrid"/>
        <w:tblW w:type="auto" w:w="0"/>
        <w:jc w:val="left"/>
        <w:tblLook w:firstColumn="1" w:firstRow="1" w:lastColumn="0" w:lastRow="0" w:noHBand="0" w:noVBand="1" w:val="04A0"/>
      </w:tblPr>
      <w:tblGrid>
        <w:gridCol w:w="2606"/>
        <w:gridCol w:w="2606"/>
        <w:gridCol w:w="2606"/>
        <w:gridCol w:w="2606"/>
      </w:tblGrid>
      <w:tr>
        <w:tc>
          <w:tcPr>
            <w:tcW w:type="dxa" w:w="2606"/>
            <w:shd w:fill="f0f5fa" w:val="clear"/>
          </w:tcPr>
          <w:p>
            <w:pPr>
              <w:jc w:val="center"/>
            </w:pPr>
            <w:r/>
            <w:r>
              <w:rPr>
                <w:rFonts w:ascii="Source Sans Pro" w:hAnsi="Source Sans Pro"/>
                <w:b w:val="0"/>
                <w:i w:val="0"/>
                <w:color w:val="64748B"/>
                <w:sz w:val="16"/>
              </w:rPr>
              <w:t>Total Events</w:t>
            </w:r>
          </w:p>
          <w:p>
            <w:pPr>
              <w:jc w:val="center"/>
            </w:pPr>
            <w:r>
              <w:rPr>
                <w:rFonts w:ascii="Source Sans Pro" w:hAnsi="Source Sans Pro"/>
                <w:b/>
                <w:i w:val="0"/>
                <w:color w:val="0B3254"/>
                <w:sz w:val="32"/>
              </w:rPr>
              <w:t>2621</w:t>
            </w:r>
          </w:p>
        </w:tc>
        <w:tc>
          <w:tcPr>
            <w:tcW w:type="dxa" w:w="2606"/>
            <w:shd w:fill="ffffff" w:val="clear"/>
          </w:tcPr>
          <w:p>
            <w:pPr>
              <w:jc w:val="center"/>
            </w:pPr>
            <w:r/>
            <w:r>
              <w:rPr>
                <w:rFonts w:ascii="Source Sans Pro" w:hAnsi="Source Sans Pro"/>
                <w:b w:val="0"/>
                <w:i w:val="0"/>
                <w:color w:val="64748B"/>
                <w:sz w:val="16"/>
              </w:rPr>
              <w:t>Moderate+ Events</w:t>
            </w:r>
          </w:p>
          <w:p>
            <w:pPr>
              <w:jc w:val="center"/>
            </w:pPr>
            <w:r>
              <w:rPr>
                <w:rFonts w:ascii="Source Sans Pro" w:hAnsi="Source Sans Pro"/>
                <w:b/>
                <w:i w:val="0"/>
                <w:color w:val="0B3254"/>
                <w:sz w:val="32"/>
              </w:rPr>
              <w:t>88</w:t>
            </w:r>
          </w:p>
        </w:tc>
        <w:tc>
          <w:tcPr>
            <w:tcW w:type="dxa" w:w="2606"/>
            <w:shd w:fill="f0f5fa" w:val="clear"/>
          </w:tcPr>
          <w:p>
            <w:pPr>
              <w:jc w:val="center"/>
            </w:pPr>
            <w:r/>
            <w:r>
              <w:rPr>
                <w:rFonts w:ascii="Source Sans Pro" w:hAnsi="Source Sans Pro"/>
                <w:b w:val="0"/>
                <w:i w:val="0"/>
                <w:color w:val="64748B"/>
                <w:sz w:val="16"/>
              </w:rPr>
              <w:t>Events / Month</w:t>
            </w:r>
          </w:p>
          <w:p>
            <w:pPr>
              <w:jc w:val="center"/>
            </w:pPr>
            <w:r>
              <w:rPr>
                <w:rFonts w:ascii="Source Sans Pro" w:hAnsi="Source Sans Pro"/>
                <w:b/>
                <w:i w:val="0"/>
                <w:color w:val="0B3254"/>
                <w:sz w:val="32"/>
              </w:rPr>
              <w:t>109.2</w:t>
            </w:r>
          </w:p>
        </w:tc>
        <w:tc>
          <w:tcPr>
            <w:tcW w:type="dxa" w:w="2606"/>
            <w:shd w:fill="ffffff" w:val="clear"/>
          </w:tcPr>
          <w:p>
            <w:pPr>
              <w:jc w:val="center"/>
            </w:pPr>
            <w:r/>
            <w:r>
              <w:rPr>
                <w:rFonts w:ascii="Source Sans Pro" w:hAnsi="Source Sans Pro"/>
                <w:b w:val="0"/>
                <w:i w:val="0"/>
                <w:color w:val="64748B"/>
                <w:sz w:val="16"/>
              </w:rPr>
              <w:t>Motor Vehicle Events</w:t>
            </w:r>
          </w:p>
          <w:p>
            <w:pPr>
              <w:jc w:val="center"/>
            </w:pPr>
            <w:r>
              <w:rPr>
                <w:rFonts w:ascii="Source Sans Pro" w:hAnsi="Source Sans Pro"/>
                <w:b/>
                <w:i w:val="0"/>
                <w:color w:val="0B3254"/>
                <w:sz w:val="32"/>
              </w:rPr>
              <w:t>279</w:t>
            </w:r>
          </w:p>
        </w:tc>
      </w:tr>
      <w:tr>
        <w:tc>
          <w:tcPr>
            <w:tcW w:type="dxa" w:w="2606"/>
            <w:shd w:fill="f0f5fa" w:val="clear"/>
          </w:tcPr>
          <w:p>
            <w:pPr>
              <w:jc w:val="center"/>
            </w:pPr>
            <w:r/>
            <w:r>
              <w:rPr>
                <w:rFonts w:ascii="Source Sans Pro" w:hAnsi="Source Sans Pro"/>
                <w:b w:val="0"/>
                <w:i w:val="0"/>
                <w:color w:val="64748B"/>
                <w:sz w:val="16"/>
              </w:rPr>
              <w:t>LLCs</w:t>
            </w:r>
          </w:p>
          <w:p>
            <w:pPr>
              <w:jc w:val="center"/>
            </w:pPr>
            <w:r>
              <w:rPr>
                <w:rFonts w:ascii="Source Sans Pro" w:hAnsi="Source Sans Pro"/>
                <w:b/>
                <w:i w:val="0"/>
                <w:color w:val="0B3254"/>
                <w:sz w:val="32"/>
              </w:rPr>
              <w:t>5954</w:t>
            </w:r>
          </w:p>
        </w:tc>
        <w:tc>
          <w:tcPr>
            <w:tcW w:type="dxa" w:w="2606"/>
            <w:shd w:fill="ffffff" w:val="clear"/>
          </w:tcPr>
          <w:p>
            <w:pPr>
              <w:jc w:val="center"/>
            </w:pPr>
            <w:r/>
            <w:r>
              <w:rPr>
                <w:rFonts w:ascii="Source Sans Pro" w:hAnsi="Source Sans Pro"/>
                <w:b w:val="0"/>
                <w:i w:val="0"/>
                <w:color w:val="64748B"/>
                <w:sz w:val="16"/>
              </w:rPr>
              <w:t>CCCs</w:t>
            </w:r>
          </w:p>
          <w:p>
            <w:pPr>
              <w:jc w:val="center"/>
            </w:pPr>
            <w:r>
              <w:rPr>
                <w:rFonts w:ascii="Source Sans Pro" w:hAnsi="Source Sans Pro"/>
                <w:b/>
                <w:i w:val="0"/>
                <w:color w:val="0B3254"/>
                <w:sz w:val="32"/>
              </w:rPr>
              <w:t>7730</w:t>
            </w:r>
          </w:p>
        </w:tc>
        <w:tc>
          <w:tcPr>
            <w:tcW w:type="dxa" w:w="2606"/>
            <w:shd w:fill="f0f5fa" w:val="clear"/>
          </w:tcPr>
          <w:p>
            <w:pPr>
              <w:jc w:val="center"/>
            </w:pPr>
            <w:r/>
            <w:r>
              <w:rPr>
                <w:rFonts w:ascii="Source Sans Pro" w:hAnsi="Source Sans Pro"/>
                <w:b w:val="0"/>
                <w:i w:val="0"/>
                <w:color w:val="64748B"/>
                <w:sz w:val="16"/>
              </w:rPr>
              <w:t>OCCs</w:t>
            </w:r>
          </w:p>
          <w:p>
            <w:pPr>
              <w:jc w:val="center"/>
            </w:pPr>
            <w:r>
              <w:rPr>
                <w:rFonts w:ascii="Source Sans Pro" w:hAnsi="Source Sans Pro"/>
                <w:b/>
                <w:i w:val="0"/>
                <w:color w:val="0B3254"/>
                <w:sz w:val="32"/>
              </w:rPr>
              <w:t>5789</w:t>
            </w:r>
          </w:p>
        </w:tc>
        <w:tc>
          <w:tcPr>
            <w:tcW w:type="dxa" w:w="2606"/>
            <w:shd w:fill="ffffff" w:val="clear"/>
          </w:tcPr>
          <w:p>
            <w:pPr>
              <w:jc w:val="center"/>
            </w:pPr>
            <w:r/>
            <w:r>
              <w:rPr>
                <w:rFonts w:ascii="Source Sans Pro" w:hAnsi="Source Sans Pro"/>
                <w:b w:val="0"/>
                <w:i w:val="0"/>
                <w:color w:val="64748B"/>
                <w:sz w:val="16"/>
              </w:rPr>
              <w:t>CCC Avg Quality</w:t>
            </w:r>
          </w:p>
          <w:p>
            <w:pPr>
              <w:jc w:val="center"/>
            </w:pPr>
            <w:r>
              <w:rPr>
                <w:rFonts w:ascii="Source Sans Pro" w:hAnsi="Source Sans Pro"/>
                <w:b/>
                <w:i w:val="0"/>
                <w:color w:val="0B3254"/>
                <w:sz w:val="32"/>
              </w:rPr>
              <w:t>28.2</w:t>
            </w:r>
          </w:p>
        </w:tc>
      </w:tr>
    </w:tbl>
    <w:p/>
    <w:p>
      <w:pPr>
        <w:pStyle w:val="Heading2"/>
      </w:pPr>
      <w:r>
        <w:t>1.1 What Leaders Should Know</w:t>
      </w:r>
    </w:p>
    <w:p>
      <w:pPr>
        <w:pStyle w:val="ListBullet"/>
      </w:pPr>
      <w:r>
        <w:rPr>
          <w:rFonts w:ascii="Source Sans Pro" w:hAnsi="Source Sans Pro"/>
          <w:b w:val="0"/>
          <w:i w:val="0"/>
          <w:color w:val="0B3254"/>
          <w:sz w:val="22"/>
        </w:rPr>
        <w:t>CCCs averaged a quality score of 28.2/100 over the last 24 months, with 68.3% assessed as shallow and 1.4% assessed as high value.</w:t>
      </w:r>
    </w:p>
    <w:p>
      <w:pPr>
        <w:pStyle w:val="ListBullet"/>
      </w:pPr>
      <w:r>
        <w:rPr>
          <w:rFonts w:ascii="Source Sans Pro" w:hAnsi="Source Sans Pro"/>
          <w:b w:val="0"/>
          <w:i w:val="0"/>
          <w:color w:val="0B3254"/>
          <w:sz w:val="22"/>
        </w:rPr>
        <w:t>Resources shows a high-volume / low-value pattern in CCC activity: 2869 records with average quality 28.7 and 67.7% shallow entries.</w:t>
      </w:r>
    </w:p>
    <w:p>
      <w:pPr>
        <w:pStyle w:val="ListBullet"/>
      </w:pPr>
      <w:r>
        <w:rPr>
          <w:rFonts w:ascii="Source Sans Pro" w:hAnsi="Source Sans Pro"/>
          <w:b w:val="0"/>
          <w:i w:val="0"/>
          <w:color w:val="0B3254"/>
          <w:sz w:val="22"/>
        </w:rPr>
        <w:t>Emerging Safety Energy themes in the recent six months include Grinder, Quality Inspection Checklist, Thermal Stress.</w:t>
      </w:r>
    </w:p>
    <w:p>
      <w:pPr>
        <w:pStyle w:val="ListBullet"/>
      </w:pPr>
      <w:r>
        <w:rPr>
          <w:rFonts w:ascii="Source Sans Pro" w:hAnsi="Source Sans Pro"/>
          <w:b w:val="0"/>
          <w:i w:val="0"/>
          <w:color w:val="0B3254"/>
          <w:sz w:val="22"/>
        </w:rPr>
        <w:t>LLC records currently show the strongest overall documentation quality among the three leading activity types.</w:t>
      </w:r>
    </w:p>
    <w:p/>
    <w:p>
      <w:pPr>
        <w:pStyle w:val="Heading2"/>
      </w:pPr>
      <w:r>
        <w:t>1.2 Priority Actions</w:t>
      </w:r>
    </w:p>
    <w:tbl>
      <w:tblPr>
        <w:tblStyle w:val="TableGrid"/>
        <w:tblW w:type="auto" w:w="0"/>
        <w:jc w:val="left"/>
        <w:tblLook w:firstColumn="1" w:firstRow="1" w:lastColumn="0" w:lastRow="0" w:noHBand="0" w:noVBand="1" w:val="04A0"/>
      </w:tblPr>
      <w:tblGrid>
        <w:gridCol w:w="10426"/>
      </w:tblGrid>
      <w:tr>
        <w:tc>
          <w:tcPr>
            <w:tcW w:type="dxa" w:w="10426"/>
            <w:shd w:fill="f7fbff" w:val="clear"/>
          </w:tcPr>
          <w:p>
            <w:r/>
            <w:r>
              <w:rPr>
                <w:rFonts w:ascii="Source Sans Pro" w:hAnsi="Source Sans Pro"/>
                <w:b/>
                <w:i w:val="0"/>
                <w:color w:val="0B3254"/>
                <w:sz w:val="22"/>
              </w:rPr>
              <w:t>Recommended Action</w:t>
            </w:r>
          </w:p>
          <w:p>
            <w:r>
              <w:rPr>
                <w:rFonts w:ascii="Source Sans Pro" w:hAnsi="Source Sans Pro"/>
                <w:b w:val="0"/>
                <w:i w:val="0"/>
                <w:color w:val="0B3254"/>
                <w:sz w:val="20"/>
              </w:rPr>
              <w:t>Moderate-or-above consequence events make up 3.4% of recorded events. Review whether controls around the highest-consequence scenarios are being verified often enough in field activity.</w:t>
            </w:r>
          </w:p>
        </w:tc>
      </w:tr>
    </w:tbl>
    <w:p/>
    <w:tbl>
      <w:tblPr>
        <w:tblStyle w:val="TableGrid"/>
        <w:tblW w:type="auto" w:w="0"/>
        <w:jc w:val="left"/>
        <w:tblLook w:firstColumn="1" w:firstRow="1" w:lastColumn="0" w:lastRow="0" w:noHBand="0" w:noVBand="1" w:val="04A0"/>
      </w:tblPr>
      <w:tblGrid>
        <w:gridCol w:w="10426"/>
      </w:tblGrid>
      <w:tr>
        <w:tc>
          <w:tcPr>
            <w:tcW w:type="dxa" w:w="10426"/>
            <w:shd w:fill="f7fbff" w:val="clear"/>
          </w:tcPr>
          <w:p>
            <w:r/>
            <w:r>
              <w:rPr>
                <w:rFonts w:ascii="Source Sans Pro" w:hAnsi="Source Sans Pro"/>
                <w:b/>
                <w:i w:val="0"/>
                <w:color w:val="0B3254"/>
                <w:sz w:val="22"/>
              </w:rPr>
              <w:t>Recommended Action</w:t>
            </w:r>
          </w:p>
          <w:p>
            <w:r>
              <w:rPr>
                <w:rFonts w:ascii="Source Sans Pro" w:hAnsi="Source Sans Pro"/>
                <w:b w:val="0"/>
                <w:i w:val="0"/>
                <w:color w:val="0B3254"/>
                <w:sz w:val="20"/>
              </w:rPr>
              <w:t>31 Lost Time Injuries were recorded in the analysis window. Review the underlying work types, contributing factors, and recovery actions for common patterns.</w:t>
            </w:r>
          </w:p>
        </w:tc>
      </w:tr>
    </w:tbl>
    <w:p/>
    <w:tbl>
      <w:tblPr>
        <w:tblStyle w:val="TableGrid"/>
        <w:tblW w:type="auto" w:w="0"/>
        <w:jc w:val="left"/>
        <w:tblLook w:firstColumn="1" w:firstRow="1" w:lastColumn="0" w:lastRow="0" w:noHBand="0" w:noVBand="1" w:val="04A0"/>
      </w:tblPr>
      <w:tblGrid>
        <w:gridCol w:w="10426"/>
      </w:tblGrid>
      <w:tr>
        <w:tc>
          <w:tcPr>
            <w:tcW w:type="dxa" w:w="10426"/>
            <w:shd w:fill="f7fbff" w:val="clear"/>
          </w:tcPr>
          <w:p>
            <w:r/>
            <w:r>
              <w:rPr>
                <w:rFonts w:ascii="Source Sans Pro" w:hAnsi="Source Sans Pro"/>
                <w:b/>
                <w:i w:val="0"/>
                <w:color w:val="0B3254"/>
                <w:sz w:val="22"/>
              </w:rPr>
              <w:t>Recommended Action</w:t>
            </w:r>
          </w:p>
          <w:p>
            <w:r>
              <w:rPr>
                <w:rFonts w:ascii="Source Sans Pro" w:hAnsi="Source Sans Pro"/>
                <w:b w:val="0"/>
                <w:i w:val="0"/>
                <w:color w:val="0B3254"/>
                <w:sz w:val="20"/>
              </w:rPr>
              <w:t>Serious events are most frequently recorded in Afternoon (12:00-17:59). Use this to target pre-start, supervision, and fatigue controls at the riskiest parts of the day.</w:t>
            </w:r>
          </w:p>
        </w:tc>
      </w:tr>
    </w:tbl>
    <w:p/>
    <w:tbl>
      <w:tblPr>
        <w:tblStyle w:val="TableGrid"/>
        <w:tblW w:type="auto" w:w="0"/>
        <w:jc w:val="left"/>
        <w:tblLook w:firstColumn="1" w:firstRow="1" w:lastColumn="0" w:lastRow="0" w:noHBand="0" w:noVBand="1" w:val="04A0"/>
      </w:tblPr>
      <w:tblGrid>
        <w:gridCol w:w="10426"/>
      </w:tblGrid>
      <w:tr>
        <w:tc>
          <w:tcPr>
            <w:tcW w:type="dxa" w:w="10426"/>
            <w:shd w:fill="f7fbff" w:val="clear"/>
          </w:tcPr>
          <w:p>
            <w:r/>
            <w:r>
              <w:rPr>
                <w:rFonts w:ascii="Source Sans Pro" w:hAnsi="Source Sans Pro"/>
                <w:b/>
                <w:i w:val="0"/>
                <w:color w:val="0B3254"/>
                <w:sz w:val="22"/>
              </w:rPr>
              <w:t>Recommended Action</w:t>
            </w:r>
          </w:p>
          <w:p>
            <w:r>
              <w:rPr>
                <w:rFonts w:ascii="Source Sans Pro" w:hAnsi="Source Sans Pro"/>
                <w:b w:val="0"/>
                <w:i w:val="0"/>
                <w:color w:val="0B3254"/>
                <w:sz w:val="20"/>
              </w:rPr>
              <w:t>Motor vehicle events account for 10.6% of all events. Review journey management, road conditions, and vehicle type patterns in the MVE section.</w:t>
            </w:r>
          </w:p>
        </w:tc>
      </w:tr>
    </w:tbl>
    <w:p/>
    <w:tbl>
      <w:tblPr>
        <w:tblStyle w:val="TableGrid"/>
        <w:tblW w:type="auto" w:w="0"/>
        <w:jc w:val="left"/>
        <w:tblLook w:firstColumn="1" w:firstRow="1" w:lastColumn="0" w:lastRow="0" w:noHBand="0" w:noVBand="1" w:val="04A0"/>
      </w:tblPr>
      <w:tblGrid>
        <w:gridCol w:w="10426"/>
      </w:tblGrid>
      <w:tr>
        <w:tc>
          <w:tcPr>
            <w:tcW w:type="dxa" w:w="10426"/>
            <w:shd w:fill="f7fbff" w:val="clear"/>
          </w:tcPr>
          <w:p>
            <w:r/>
            <w:r>
              <w:rPr>
                <w:rFonts w:ascii="Source Sans Pro" w:hAnsi="Source Sans Pro"/>
                <w:b/>
                <w:i w:val="0"/>
                <w:color w:val="0B3254"/>
                <w:sz w:val="22"/>
              </w:rPr>
              <w:t>Recommended Action</w:t>
            </w:r>
          </w:p>
          <w:p>
            <w:r>
              <w:rPr>
                <w:rFonts w:ascii="Source Sans Pro" w:hAnsi="Source Sans Pro"/>
                <w:b w:val="0"/>
                <w:i w:val="0"/>
                <w:color w:val="0B3254"/>
                <w:sz w:val="20"/>
              </w:rPr>
              <w:t>Prioritise a motor vehicle risk review for Yarra Valley Water O&amp;M where MV exposure is most visible, with particular attention to Main Road driving conditions.</w:t>
            </w:r>
          </w:p>
        </w:tc>
      </w:tr>
    </w:tbl>
    <w:p/>
    <w:p>
      <w:r>
        <w:br w:type="page"/>
      </w:r>
    </w:p>
    <w:p>
      <w:pPr>
        <w:pStyle w:val="Heading1"/>
      </w:pPr>
      <w:r>
        <w:t>2. Data Quality and Coverage</w:t>
      </w:r>
    </w:p>
    <w:p>
      <w:r>
        <w:rPr>
          <w:rFonts w:ascii="Source Sans Pro" w:hAnsi="Source Sans Pro"/>
          <w:b w:val="0"/>
          <w:i w:val="0"/>
          <w:color w:val="0B3254"/>
          <w:sz w:val="22"/>
        </w:rPr>
        <w:t>This section summarises the completeness and date coverage of each data source. Any gaps identified here may affect the reliability of subsequent analysis sections.</w:t>
      </w:r>
    </w:p>
    <w:p/>
    <w:p>
      <w:pPr>
        <w:pStyle w:val="Heading2"/>
      </w:pPr>
      <w:r>
        <w:t>Events</w:t>
      </w:r>
    </w:p>
    <w:tbl>
      <w:tblPr>
        <w:tblStyle w:val="TableGrid"/>
        <w:tblW w:type="auto" w:w="0"/>
        <w:jc w:val="left"/>
        <w:tblLook w:firstColumn="1" w:firstRow="1" w:lastColumn="0" w:lastRow="0" w:noHBand="0" w:noVBand="1" w:val="04A0"/>
      </w:tblPr>
      <w:tblGrid>
        <w:gridCol w:w="5213"/>
        <w:gridCol w:w="5213"/>
      </w:tblGrid>
      <w:tr>
        <w:tc>
          <w:tcPr>
            <w:tcW w:type="dxa" w:w="4320"/>
            <w:shd w:fill="0b3254" w:val="clear"/>
          </w:tcPr>
          <w:p>
            <w:r/>
            <w:r>
              <w:rPr>
                <w:rFonts w:ascii="Source Sans Pro" w:hAnsi="Source Sans Pro"/>
                <w:b/>
                <w:color w:val="FFFFFF"/>
                <w:sz w:val="18"/>
              </w:rPr>
              <w:t>Field</w:t>
            </w:r>
          </w:p>
        </w:tc>
        <w:tc>
          <w:tcPr>
            <w:tcW w:type="dxa" w:w="5040"/>
            <w:shd w:fill="0b3254" w:val="clear"/>
          </w:tcPr>
          <w:p>
            <w:r/>
            <w:r>
              <w:rPr>
                <w:rFonts w:ascii="Source Sans Pro" w:hAnsi="Source Sans Pro"/>
                <w:b/>
                <w:color w:val="FFFFFF"/>
                <w:sz w:val="18"/>
              </w:rPr>
              <w:t>Value</w:t>
            </w:r>
          </w:p>
        </w:tc>
      </w:tr>
      <w:tr>
        <w:tc>
          <w:tcPr>
            <w:tcW w:type="dxa" w:w="4320"/>
            <w:shd w:fill="f0f5fa" w:val="clear"/>
          </w:tcPr>
          <w:p>
            <w:r/>
            <w:r>
              <w:rPr>
                <w:rFonts w:ascii="Source Sans Pro" w:hAnsi="Source Sans Pro"/>
                <w:sz w:val="18"/>
              </w:rPr>
              <w:t>Rows</w:t>
            </w:r>
          </w:p>
        </w:tc>
        <w:tc>
          <w:tcPr>
            <w:tcW w:type="dxa" w:w="5040"/>
            <w:shd w:fill="f0f5fa" w:val="clear"/>
          </w:tcPr>
          <w:p>
            <w:r/>
            <w:r>
              <w:rPr>
                <w:rFonts w:ascii="Source Sans Pro" w:hAnsi="Source Sans Pro"/>
                <w:sz w:val="18"/>
              </w:rPr>
              <w:t>2637</w:t>
            </w:r>
          </w:p>
        </w:tc>
      </w:tr>
      <w:tr>
        <w:tc>
          <w:tcPr>
            <w:tcW w:type="dxa" w:w="4320"/>
            <w:shd w:fill="ffffff" w:val="clear"/>
          </w:tcPr>
          <w:p>
            <w:r/>
            <w:r>
              <w:rPr>
                <w:rFonts w:ascii="Source Sans Pro" w:hAnsi="Source Sans Pro"/>
                <w:sz w:val="18"/>
              </w:rPr>
              <w:t>Date From</w:t>
            </w:r>
          </w:p>
        </w:tc>
        <w:tc>
          <w:tcPr>
            <w:tcW w:type="dxa" w:w="5040"/>
            <w:shd w:fill="ffffff" w:val="clear"/>
          </w:tcPr>
          <w:p>
            <w:r/>
            <w:r>
              <w:rPr>
                <w:rFonts w:ascii="Source Sans Pro" w:hAnsi="Source Sans Pro"/>
                <w:sz w:val="18"/>
              </w:rPr>
              <w:t>08 Jul 2023</w:t>
            </w:r>
          </w:p>
        </w:tc>
      </w:tr>
      <w:tr>
        <w:tc>
          <w:tcPr>
            <w:tcW w:type="dxa" w:w="4320"/>
            <w:shd w:fill="f0f5fa" w:val="clear"/>
          </w:tcPr>
          <w:p>
            <w:r/>
            <w:r>
              <w:rPr>
                <w:rFonts w:ascii="Source Sans Pro" w:hAnsi="Source Sans Pro"/>
                <w:sz w:val="18"/>
              </w:rPr>
              <w:t>Date To</w:t>
            </w:r>
          </w:p>
        </w:tc>
        <w:tc>
          <w:tcPr>
            <w:tcW w:type="dxa" w:w="5040"/>
            <w:shd w:fill="f0f5fa" w:val="clear"/>
          </w:tcPr>
          <w:p>
            <w:r/>
            <w:r>
              <w:rPr>
                <w:rFonts w:ascii="Source Sans Pro" w:hAnsi="Source Sans Pro"/>
                <w:sz w:val="18"/>
              </w:rPr>
              <w:t>31 Dec 2025</w:t>
            </w:r>
          </w:p>
        </w:tc>
      </w:tr>
      <w:tr>
        <w:tc>
          <w:tcPr>
            <w:tcW w:type="dxa" w:w="4320"/>
            <w:shd w:fill="ffffff" w:val="clear"/>
          </w:tcPr>
          <w:p>
            <w:r/>
            <w:r>
              <w:rPr>
                <w:rFonts w:ascii="Source Sans Pro" w:hAnsi="Source Sans Pro"/>
                <w:sz w:val="18"/>
              </w:rPr>
              <w:t>Null — Event Type</w:t>
            </w:r>
          </w:p>
        </w:tc>
        <w:tc>
          <w:tcPr>
            <w:tcW w:type="dxa" w:w="5040"/>
            <w:shd w:fill="ffffff" w:val="clear"/>
          </w:tcPr>
          <w:p>
            <w:r/>
            <w:r>
              <w:rPr>
                <w:rFonts w:ascii="Source Sans Pro" w:hAnsi="Source Sans Pro"/>
                <w:sz w:val="18"/>
              </w:rPr>
              <w:t>0.0%</w:t>
            </w:r>
          </w:p>
        </w:tc>
      </w:tr>
      <w:tr>
        <w:tc>
          <w:tcPr>
            <w:tcW w:type="dxa" w:w="4320"/>
            <w:shd w:fill="f0f5fa" w:val="clear"/>
          </w:tcPr>
          <w:p>
            <w:r/>
            <w:r>
              <w:rPr>
                <w:rFonts w:ascii="Source Sans Pro" w:hAnsi="Source Sans Pro"/>
                <w:sz w:val="18"/>
              </w:rPr>
              <w:t>Null — Consequence</w:t>
            </w:r>
          </w:p>
        </w:tc>
        <w:tc>
          <w:tcPr>
            <w:tcW w:type="dxa" w:w="5040"/>
            <w:shd w:fill="f0f5fa" w:val="clear"/>
          </w:tcPr>
          <w:p>
            <w:r/>
            <w:r>
              <w:rPr>
                <w:rFonts w:ascii="Source Sans Pro" w:hAnsi="Source Sans Pro"/>
                <w:sz w:val="18"/>
              </w:rPr>
              <w:t>0.0%</w:t>
            </w:r>
          </w:p>
        </w:tc>
      </w:tr>
      <w:tr>
        <w:tc>
          <w:tcPr>
            <w:tcW w:type="dxa" w:w="4320"/>
            <w:shd w:fill="ffffff" w:val="clear"/>
          </w:tcPr>
          <w:p>
            <w:r/>
            <w:r>
              <w:rPr>
                <w:rFonts w:ascii="Source Sans Pro" w:hAnsi="Source Sans Pro"/>
                <w:sz w:val="18"/>
              </w:rPr>
              <w:t>Null — Business Unit</w:t>
            </w:r>
          </w:p>
        </w:tc>
        <w:tc>
          <w:tcPr>
            <w:tcW w:type="dxa" w:w="5040"/>
            <w:shd w:fill="ffffff" w:val="clear"/>
          </w:tcPr>
          <w:p>
            <w:r/>
            <w:r>
              <w:rPr>
                <w:rFonts w:ascii="Source Sans Pro" w:hAnsi="Source Sans Pro"/>
                <w:sz w:val="18"/>
              </w:rPr>
              <w:t>0.0%</w:t>
            </w:r>
          </w:p>
        </w:tc>
      </w:tr>
      <w:tr>
        <w:tc>
          <w:tcPr>
            <w:tcW w:type="dxa" w:w="4320"/>
            <w:shd w:fill="f0f5fa" w:val="clear"/>
          </w:tcPr>
          <w:p>
            <w:r/>
            <w:r>
              <w:rPr>
                <w:rFonts w:ascii="Source Sans Pro" w:hAnsi="Source Sans Pro"/>
                <w:sz w:val="18"/>
              </w:rPr>
              <w:t>Null — Root Cause</w:t>
            </w:r>
          </w:p>
        </w:tc>
        <w:tc>
          <w:tcPr>
            <w:tcW w:type="dxa" w:w="5040"/>
            <w:shd w:fill="f0f5fa" w:val="clear"/>
          </w:tcPr>
          <w:p>
            <w:r/>
            <w:r>
              <w:rPr>
                <w:rFonts w:ascii="Source Sans Pro" w:hAnsi="Source Sans Pro"/>
                <w:sz w:val="18"/>
              </w:rPr>
              <w:t>0.6%</w:t>
            </w:r>
          </w:p>
        </w:tc>
      </w:tr>
    </w:tbl>
    <w:p/>
    <w:p>
      <w:pPr>
        <w:pStyle w:val="Heading2"/>
      </w:pPr>
      <w:r>
        <w:t>Safety Energy</w:t>
      </w:r>
    </w:p>
    <w:tbl>
      <w:tblPr>
        <w:tblStyle w:val="TableGrid"/>
        <w:tblW w:type="auto" w:w="0"/>
        <w:jc w:val="left"/>
        <w:tblLook w:firstColumn="1" w:firstRow="1" w:lastColumn="0" w:lastRow="0" w:noHBand="0" w:noVBand="1" w:val="04A0"/>
      </w:tblPr>
      <w:tblGrid>
        <w:gridCol w:w="5213"/>
        <w:gridCol w:w="5213"/>
      </w:tblGrid>
      <w:tr>
        <w:tc>
          <w:tcPr>
            <w:tcW w:type="dxa" w:w="4320"/>
            <w:shd w:fill="0b3254" w:val="clear"/>
          </w:tcPr>
          <w:p>
            <w:r/>
            <w:r>
              <w:rPr>
                <w:rFonts w:ascii="Source Sans Pro" w:hAnsi="Source Sans Pro"/>
                <w:b/>
                <w:color w:val="FFFFFF"/>
                <w:sz w:val="18"/>
              </w:rPr>
              <w:t>Field</w:t>
            </w:r>
          </w:p>
        </w:tc>
        <w:tc>
          <w:tcPr>
            <w:tcW w:type="dxa" w:w="5040"/>
            <w:shd w:fill="0b3254" w:val="clear"/>
          </w:tcPr>
          <w:p>
            <w:r/>
            <w:r>
              <w:rPr>
                <w:rFonts w:ascii="Source Sans Pro" w:hAnsi="Source Sans Pro"/>
                <w:b/>
                <w:color w:val="FFFFFF"/>
                <w:sz w:val="18"/>
              </w:rPr>
              <w:t>Value</w:t>
            </w:r>
          </w:p>
        </w:tc>
      </w:tr>
      <w:tr>
        <w:tc>
          <w:tcPr>
            <w:tcW w:type="dxa" w:w="4320"/>
            <w:shd w:fill="f0f5fa" w:val="clear"/>
          </w:tcPr>
          <w:p>
            <w:r/>
            <w:r>
              <w:rPr>
                <w:rFonts w:ascii="Source Sans Pro" w:hAnsi="Source Sans Pro"/>
                <w:sz w:val="18"/>
              </w:rPr>
              <w:t>Rows</w:t>
            </w:r>
          </w:p>
        </w:tc>
        <w:tc>
          <w:tcPr>
            <w:tcW w:type="dxa" w:w="5040"/>
            <w:shd w:fill="f0f5fa" w:val="clear"/>
          </w:tcPr>
          <w:p>
            <w:r/>
            <w:r>
              <w:rPr>
                <w:rFonts w:ascii="Source Sans Pro" w:hAnsi="Source Sans Pro"/>
                <w:sz w:val="18"/>
              </w:rPr>
              <w:t>19473</w:t>
            </w:r>
          </w:p>
        </w:tc>
      </w:tr>
      <w:tr>
        <w:tc>
          <w:tcPr>
            <w:tcW w:type="dxa" w:w="4320"/>
            <w:shd w:fill="ffffff" w:val="clear"/>
          </w:tcPr>
          <w:p>
            <w:r/>
            <w:r>
              <w:rPr>
                <w:rFonts w:ascii="Source Sans Pro" w:hAnsi="Source Sans Pro"/>
                <w:sz w:val="18"/>
              </w:rPr>
              <w:t>Date From</w:t>
            </w:r>
          </w:p>
        </w:tc>
        <w:tc>
          <w:tcPr>
            <w:tcW w:type="dxa" w:w="5040"/>
            <w:shd w:fill="ffffff" w:val="clear"/>
          </w:tcPr>
          <w:p>
            <w:r/>
            <w:r>
              <w:rPr>
                <w:rFonts w:ascii="Source Sans Pro" w:hAnsi="Source Sans Pro"/>
                <w:sz w:val="18"/>
              </w:rPr>
              <w:t>01 Jan 2024</w:t>
            </w:r>
          </w:p>
        </w:tc>
      </w:tr>
      <w:tr>
        <w:tc>
          <w:tcPr>
            <w:tcW w:type="dxa" w:w="4320"/>
            <w:shd w:fill="f0f5fa" w:val="clear"/>
          </w:tcPr>
          <w:p>
            <w:r/>
            <w:r>
              <w:rPr>
                <w:rFonts w:ascii="Source Sans Pro" w:hAnsi="Source Sans Pro"/>
                <w:sz w:val="18"/>
              </w:rPr>
              <w:t>Date To</w:t>
            </w:r>
          </w:p>
        </w:tc>
        <w:tc>
          <w:tcPr>
            <w:tcW w:type="dxa" w:w="5040"/>
            <w:shd w:fill="f0f5fa" w:val="clear"/>
          </w:tcPr>
          <w:p>
            <w:r/>
            <w:r>
              <w:rPr>
                <w:rFonts w:ascii="Source Sans Pro" w:hAnsi="Source Sans Pro"/>
                <w:sz w:val="18"/>
              </w:rPr>
              <w:t>31 Dec 2025</w:t>
            </w:r>
          </w:p>
        </w:tc>
      </w:tr>
      <w:tr>
        <w:tc>
          <w:tcPr>
            <w:tcW w:type="dxa" w:w="4320"/>
            <w:shd w:fill="ffffff" w:val="clear"/>
          </w:tcPr>
          <w:p>
            <w:r/>
            <w:r>
              <w:rPr>
                <w:rFonts w:ascii="Source Sans Pro" w:hAnsi="Source Sans Pro"/>
                <w:sz w:val="18"/>
              </w:rPr>
              <w:t>Null — Leader</w:t>
            </w:r>
          </w:p>
        </w:tc>
        <w:tc>
          <w:tcPr>
            <w:tcW w:type="dxa" w:w="5040"/>
            <w:shd w:fill="ffffff" w:val="clear"/>
          </w:tcPr>
          <w:p>
            <w:r/>
            <w:r>
              <w:rPr>
                <w:rFonts w:ascii="Source Sans Pro" w:hAnsi="Source Sans Pro"/>
                <w:sz w:val="18"/>
              </w:rPr>
              <w:t>0.0%</w:t>
            </w:r>
          </w:p>
        </w:tc>
      </w:tr>
      <w:tr>
        <w:tc>
          <w:tcPr>
            <w:tcW w:type="dxa" w:w="4320"/>
            <w:shd w:fill="f0f5fa" w:val="clear"/>
          </w:tcPr>
          <w:p>
            <w:r/>
            <w:r>
              <w:rPr>
                <w:rFonts w:ascii="Source Sans Pro" w:hAnsi="Source Sans Pro"/>
                <w:sz w:val="18"/>
              </w:rPr>
              <w:t>Null — Business Unit</w:t>
            </w:r>
          </w:p>
        </w:tc>
        <w:tc>
          <w:tcPr>
            <w:tcW w:type="dxa" w:w="5040"/>
            <w:shd w:fill="f0f5fa" w:val="clear"/>
          </w:tcPr>
          <w:p>
            <w:r/>
            <w:r>
              <w:rPr>
                <w:rFonts w:ascii="Source Sans Pro" w:hAnsi="Source Sans Pro"/>
                <w:sz w:val="18"/>
              </w:rPr>
              <w:t>0.0%</w:t>
            </w:r>
          </w:p>
        </w:tc>
      </w:tr>
    </w:tbl>
    <w:p/>
    <w:tbl>
      <w:tblPr>
        <w:tblStyle w:val="TableGrid"/>
        <w:tblW w:type="auto" w:w="0"/>
        <w:jc w:val="left"/>
        <w:tblLook w:firstColumn="1" w:firstRow="1" w:lastColumn="0" w:lastRow="0" w:noHBand="0" w:noVBand="1" w:val="04A0"/>
      </w:tblPr>
      <w:tblGrid>
        <w:gridCol w:w="5213"/>
        <w:gridCol w:w="5213"/>
      </w:tblGrid>
      <w:tr>
        <w:tc>
          <w:tcPr>
            <w:tcW w:type="dxa" w:w="4320"/>
            <w:shd w:fill="0b3254" w:val="clear"/>
          </w:tcPr>
          <w:p>
            <w:r/>
            <w:r>
              <w:rPr>
                <w:rFonts w:ascii="Source Sans Pro" w:hAnsi="Source Sans Pro"/>
                <w:b/>
                <w:color w:val="FFFFFF"/>
                <w:sz w:val="18"/>
              </w:rPr>
              <w:t>Activity Type</w:t>
            </w:r>
          </w:p>
        </w:tc>
        <w:tc>
          <w:tcPr>
            <w:tcW w:type="dxa" w:w="5040"/>
            <w:shd w:fill="0b3254" w:val="clear"/>
          </w:tcPr>
          <w:p>
            <w:r/>
            <w:r>
              <w:rPr>
                <w:rFonts w:ascii="Source Sans Pro" w:hAnsi="Source Sans Pro"/>
                <w:b/>
                <w:color w:val="FFFFFF"/>
                <w:sz w:val="18"/>
              </w:rPr>
              <w:t>Count</w:t>
            </w:r>
          </w:p>
        </w:tc>
      </w:tr>
      <w:tr>
        <w:tc>
          <w:tcPr>
            <w:tcW w:type="dxa" w:w="4320"/>
            <w:shd w:fill="f0f5fa" w:val="clear"/>
          </w:tcPr>
          <w:p>
            <w:r/>
            <w:r>
              <w:rPr>
                <w:rFonts w:ascii="Source Sans Pro" w:hAnsi="Source Sans Pro"/>
                <w:sz w:val="18"/>
              </w:rPr>
              <w:t>CCC</w:t>
            </w:r>
          </w:p>
        </w:tc>
        <w:tc>
          <w:tcPr>
            <w:tcW w:type="dxa" w:w="5040"/>
            <w:shd w:fill="f0f5fa" w:val="clear"/>
          </w:tcPr>
          <w:p>
            <w:r/>
            <w:r>
              <w:rPr>
                <w:rFonts w:ascii="Source Sans Pro" w:hAnsi="Source Sans Pro"/>
                <w:sz w:val="18"/>
              </w:rPr>
              <w:t>7730</w:t>
            </w:r>
          </w:p>
        </w:tc>
      </w:tr>
      <w:tr>
        <w:tc>
          <w:tcPr>
            <w:tcW w:type="dxa" w:w="4320"/>
            <w:shd w:fill="ffffff" w:val="clear"/>
          </w:tcPr>
          <w:p>
            <w:r/>
            <w:r>
              <w:rPr>
                <w:rFonts w:ascii="Source Sans Pro" w:hAnsi="Source Sans Pro"/>
                <w:sz w:val="18"/>
              </w:rPr>
              <w:t>LLC</w:t>
            </w:r>
          </w:p>
        </w:tc>
        <w:tc>
          <w:tcPr>
            <w:tcW w:type="dxa" w:w="5040"/>
            <w:shd w:fill="ffffff" w:val="clear"/>
          </w:tcPr>
          <w:p>
            <w:r/>
            <w:r>
              <w:rPr>
                <w:rFonts w:ascii="Source Sans Pro" w:hAnsi="Source Sans Pro"/>
                <w:sz w:val="18"/>
              </w:rPr>
              <w:t>5954</w:t>
            </w:r>
          </w:p>
        </w:tc>
      </w:tr>
      <w:tr>
        <w:tc>
          <w:tcPr>
            <w:tcW w:type="dxa" w:w="4320"/>
            <w:shd w:fill="f0f5fa" w:val="clear"/>
          </w:tcPr>
          <w:p>
            <w:r/>
            <w:r>
              <w:rPr>
                <w:rFonts w:ascii="Source Sans Pro" w:hAnsi="Source Sans Pro"/>
                <w:sz w:val="18"/>
              </w:rPr>
              <w:t>OCC</w:t>
            </w:r>
          </w:p>
        </w:tc>
        <w:tc>
          <w:tcPr>
            <w:tcW w:type="dxa" w:w="5040"/>
            <w:shd w:fill="f0f5fa" w:val="clear"/>
          </w:tcPr>
          <w:p>
            <w:r/>
            <w:r>
              <w:rPr>
                <w:rFonts w:ascii="Source Sans Pro" w:hAnsi="Source Sans Pro"/>
                <w:sz w:val="18"/>
              </w:rPr>
              <w:t>5789</w:t>
            </w:r>
          </w:p>
        </w:tc>
      </w:tr>
    </w:tbl>
    <w:p/>
    <w:p>
      <w:pPr>
        <w:pStyle w:val="Heading2"/>
      </w:pPr>
      <w:r>
        <w:t>LLC Data</w:t>
      </w:r>
    </w:p>
    <w:tbl>
      <w:tblPr>
        <w:tblStyle w:val="TableGrid"/>
        <w:tblW w:type="auto" w:w="0"/>
        <w:jc w:val="left"/>
        <w:tblLook w:firstColumn="1" w:firstRow="1" w:lastColumn="0" w:lastRow="0" w:noHBand="0" w:noVBand="1" w:val="04A0"/>
      </w:tblPr>
      <w:tblGrid>
        <w:gridCol w:w="5213"/>
        <w:gridCol w:w="5213"/>
      </w:tblGrid>
      <w:tr>
        <w:tc>
          <w:tcPr>
            <w:tcW w:type="dxa" w:w="4320"/>
            <w:shd w:fill="0b3254" w:val="clear"/>
          </w:tcPr>
          <w:p>
            <w:r/>
            <w:r>
              <w:rPr>
                <w:rFonts w:ascii="Source Sans Pro" w:hAnsi="Source Sans Pro"/>
                <w:b/>
                <w:color w:val="FFFFFF"/>
                <w:sz w:val="18"/>
              </w:rPr>
              <w:t>Field</w:t>
            </w:r>
          </w:p>
        </w:tc>
        <w:tc>
          <w:tcPr>
            <w:tcW w:type="dxa" w:w="5040"/>
            <w:shd w:fill="0b3254" w:val="clear"/>
          </w:tcPr>
          <w:p>
            <w:r/>
            <w:r>
              <w:rPr>
                <w:rFonts w:ascii="Source Sans Pro" w:hAnsi="Source Sans Pro"/>
                <w:b/>
                <w:color w:val="FFFFFF"/>
                <w:sz w:val="18"/>
              </w:rPr>
              <w:t>Value</w:t>
            </w:r>
          </w:p>
        </w:tc>
      </w:tr>
      <w:tr>
        <w:tc>
          <w:tcPr>
            <w:tcW w:type="dxa" w:w="4320"/>
            <w:shd w:fill="f0f5fa" w:val="clear"/>
          </w:tcPr>
          <w:p>
            <w:r/>
            <w:r>
              <w:rPr>
                <w:rFonts w:ascii="Source Sans Pro" w:hAnsi="Source Sans Pro"/>
                <w:sz w:val="18"/>
              </w:rPr>
              <w:t>Rows</w:t>
            </w:r>
          </w:p>
        </w:tc>
        <w:tc>
          <w:tcPr>
            <w:tcW w:type="dxa" w:w="5040"/>
            <w:shd w:fill="f0f5fa" w:val="clear"/>
          </w:tcPr>
          <w:p>
            <w:r/>
            <w:r>
              <w:rPr>
                <w:rFonts w:ascii="Source Sans Pro" w:hAnsi="Source Sans Pro"/>
                <w:sz w:val="18"/>
              </w:rPr>
              <w:t>5951</w:t>
            </w:r>
          </w:p>
        </w:tc>
      </w:tr>
      <w:tr>
        <w:tc>
          <w:tcPr>
            <w:tcW w:type="dxa" w:w="4320"/>
            <w:shd w:fill="ffffff" w:val="clear"/>
          </w:tcPr>
          <w:p>
            <w:r/>
            <w:r>
              <w:rPr>
                <w:rFonts w:ascii="Source Sans Pro" w:hAnsi="Source Sans Pro"/>
                <w:sz w:val="18"/>
              </w:rPr>
              <w:t>Date From</w:t>
            </w:r>
          </w:p>
        </w:tc>
        <w:tc>
          <w:tcPr>
            <w:tcW w:type="dxa" w:w="5040"/>
            <w:shd w:fill="ffffff" w:val="clear"/>
          </w:tcPr>
          <w:p>
            <w:r/>
            <w:r>
              <w:rPr>
                <w:rFonts w:ascii="Source Sans Pro" w:hAnsi="Source Sans Pro"/>
                <w:sz w:val="18"/>
              </w:rPr>
              <w:t>01 Jan 2024</w:t>
            </w:r>
          </w:p>
        </w:tc>
      </w:tr>
      <w:tr>
        <w:tc>
          <w:tcPr>
            <w:tcW w:type="dxa" w:w="4320"/>
            <w:shd w:fill="f0f5fa" w:val="clear"/>
          </w:tcPr>
          <w:p>
            <w:r/>
            <w:r>
              <w:rPr>
                <w:rFonts w:ascii="Source Sans Pro" w:hAnsi="Source Sans Pro"/>
                <w:sz w:val="18"/>
              </w:rPr>
              <w:t>Date To</w:t>
            </w:r>
          </w:p>
        </w:tc>
        <w:tc>
          <w:tcPr>
            <w:tcW w:type="dxa" w:w="5040"/>
            <w:shd w:fill="f0f5fa" w:val="clear"/>
          </w:tcPr>
          <w:p>
            <w:r/>
            <w:r>
              <w:rPr>
                <w:rFonts w:ascii="Source Sans Pro" w:hAnsi="Source Sans Pro"/>
                <w:sz w:val="18"/>
              </w:rPr>
              <w:t>31 Dec 2025</w:t>
            </w:r>
          </w:p>
        </w:tc>
      </w:tr>
      <w:tr>
        <w:tc>
          <w:tcPr>
            <w:tcW w:type="dxa" w:w="4320"/>
            <w:shd w:fill="ffffff" w:val="clear"/>
          </w:tcPr>
          <w:p>
            <w:r/>
            <w:r>
              <w:rPr>
                <w:rFonts w:ascii="Source Sans Pro" w:hAnsi="Source Sans Pro"/>
                <w:sz w:val="18"/>
              </w:rPr>
              <w:t>Null — Topic</w:t>
            </w:r>
          </w:p>
        </w:tc>
        <w:tc>
          <w:tcPr>
            <w:tcW w:type="dxa" w:w="5040"/>
            <w:shd w:fill="ffffff" w:val="clear"/>
          </w:tcPr>
          <w:p>
            <w:r/>
            <w:r>
              <w:rPr>
                <w:rFonts w:ascii="Source Sans Pro" w:hAnsi="Source Sans Pro"/>
                <w:sz w:val="18"/>
              </w:rPr>
              <w:t>0.1%</w:t>
            </w:r>
          </w:p>
        </w:tc>
      </w:tr>
      <w:tr>
        <w:tc>
          <w:tcPr>
            <w:tcW w:type="dxa" w:w="4320"/>
            <w:shd w:fill="f0f5fa" w:val="clear"/>
          </w:tcPr>
          <w:p>
            <w:r/>
            <w:r>
              <w:rPr>
                <w:rFonts w:ascii="Source Sans Pro" w:hAnsi="Source Sans Pro"/>
                <w:sz w:val="18"/>
              </w:rPr>
              <w:t>Null — Leader</w:t>
            </w:r>
          </w:p>
        </w:tc>
        <w:tc>
          <w:tcPr>
            <w:tcW w:type="dxa" w:w="5040"/>
            <w:shd w:fill="f0f5fa" w:val="clear"/>
          </w:tcPr>
          <w:p>
            <w:r/>
            <w:r>
              <w:rPr>
                <w:rFonts w:ascii="Source Sans Pro" w:hAnsi="Source Sans Pro"/>
                <w:sz w:val="18"/>
              </w:rPr>
              <w:t>0.0%</w:t>
            </w:r>
          </w:p>
        </w:tc>
      </w:tr>
    </w:tbl>
    <w:p/>
    <w:p>
      <w:r>
        <w:br w:type="page"/>
      </w:r>
    </w:p>
    <w:p>
      <w:pPr>
        <w:pStyle w:val="Heading1"/>
      </w:pPr>
      <w:r>
        <w:t>3. Events Analysis</w:t>
      </w:r>
    </w:p>
    <w:tbl>
      <w:tblPr>
        <w:tblStyle w:val="TableGrid"/>
        <w:tblW w:type="auto" w:w="0"/>
        <w:jc w:val="left"/>
        <w:tblLook w:firstColumn="1" w:firstRow="1" w:lastColumn="0" w:lastRow="0" w:noHBand="0" w:noVBand="1" w:val="04A0"/>
      </w:tblPr>
      <w:tblGrid>
        <w:gridCol w:w="10426"/>
      </w:tblGrid>
      <w:tr>
        <w:tc>
          <w:tcPr>
            <w:tcW w:type="dxa" w:w="10426"/>
            <w:shd w:fill="f7fbff" w:val="clear"/>
          </w:tcPr>
          <w:p>
            <w:r/>
            <w:r>
              <w:rPr>
                <w:rFonts w:ascii="Source Sans Pro" w:hAnsi="Source Sans Pro"/>
                <w:b/>
                <w:i w:val="0"/>
                <w:color w:val="13B5EA"/>
                <w:sz w:val="22"/>
              </w:rPr>
              <w:t>Event Story</w:t>
            </w:r>
          </w:p>
          <w:p>
            <w:r>
              <w:rPr>
                <w:rFonts w:ascii="Source Sans Pro" w:hAnsi="Source Sans Pro"/>
                <w:b w:val="0"/>
                <w:i w:val="0"/>
                <w:color w:val="0B3254"/>
                <w:sz w:val="20"/>
              </w:rPr>
              <w:t>This section focuses on where event burden is building, where serious outcomes are concentrated, and what special risk signals are visible in timing and motor vehicle data.</w:t>
            </w:r>
          </w:p>
        </w:tc>
      </w:tr>
    </w:tbl>
    <w:p/>
    <w:p>
      <w:pPr>
        <w:pStyle w:val="Heading2"/>
      </w:pPr>
      <w:r>
        <w:t>3.1 Monthly Trend</w:t>
      </w:r>
    </w:p>
    <w:p>
      <w:r>
        <w:drawing>
          <wp:inline xmlns:a="http://schemas.openxmlformats.org/drawingml/2006/main" xmlns:pic="http://schemas.openxmlformats.org/drawingml/2006/picture">
            <wp:extent cx="5486400" cy="1964025"/>
            <wp:docPr id="1" name="Picture 1"/>
            <wp:cNvGraphicFramePr>
              <a:graphicFrameLocks noChangeAspect="1"/>
            </wp:cNvGraphicFramePr>
            <a:graphic>
              <a:graphicData uri="http://schemas.openxmlformats.org/drawingml/2006/picture">
                <pic:pic>
                  <pic:nvPicPr>
                    <pic:cNvPr id="0" name="ch_events_monthly.png"/>
                    <pic:cNvPicPr/>
                  </pic:nvPicPr>
                  <pic:blipFill>
                    <a:blip r:embed="rId9"/>
                    <a:stretch>
                      <a:fillRect/>
                    </a:stretch>
                  </pic:blipFill>
                  <pic:spPr>
                    <a:xfrm>
                      <a:off x="0" y="0"/>
                      <a:ext cx="5486400" cy="1964025"/>
                    </a:xfrm>
                    <a:prstGeom prst="rect"/>
                  </pic:spPr>
                </pic:pic>
              </a:graphicData>
            </a:graphic>
          </wp:inline>
        </w:drawing>
      </w:r>
    </w:p>
    <w:p/>
    <w:p>
      <w:pPr>
        <w:pStyle w:val="Heading2"/>
      </w:pPr>
      <w:r>
        <w:t>3.2 Consequence Severity</w:t>
      </w:r>
    </w:p>
    <w:p>
      <w:r>
        <w:drawing>
          <wp:inline xmlns:a="http://schemas.openxmlformats.org/drawingml/2006/main" xmlns:pic="http://schemas.openxmlformats.org/drawingml/2006/picture">
            <wp:extent cx="5029200" cy="2476101"/>
            <wp:docPr id="2" name="Picture 2"/>
            <wp:cNvGraphicFramePr>
              <a:graphicFrameLocks noChangeAspect="1"/>
            </wp:cNvGraphicFramePr>
            <a:graphic>
              <a:graphicData uri="http://schemas.openxmlformats.org/drawingml/2006/picture">
                <pic:pic>
                  <pic:nvPicPr>
                    <pic:cNvPr id="0" name="ch_consequence.png"/>
                    <pic:cNvPicPr/>
                  </pic:nvPicPr>
                  <pic:blipFill>
                    <a:blip r:embed="rId10"/>
                    <a:stretch>
                      <a:fillRect/>
                    </a:stretch>
                  </pic:blipFill>
                  <pic:spPr>
                    <a:xfrm>
                      <a:off x="0" y="0"/>
                      <a:ext cx="5029200" cy="2476101"/>
                    </a:xfrm>
                    <a:prstGeom prst="rect"/>
                  </pic:spPr>
                </pic:pic>
              </a:graphicData>
            </a:graphic>
          </wp:inline>
        </w:drawing>
      </w:r>
    </w:p>
    <w:p/>
    <w:p>
      <w:pPr>
        <w:pStyle w:val="Heading2"/>
      </w:pPr>
      <w:r>
        <w:t>3.3 Event Type Breakdown</w:t>
      </w:r>
    </w:p>
    <w:tbl>
      <w:tblPr>
        <w:tblStyle w:val="TableGrid"/>
        <w:tblW w:type="auto" w:w="0"/>
        <w:jc w:val="left"/>
        <w:tblLook w:firstColumn="1" w:firstRow="1" w:lastColumn="0" w:lastRow="0" w:noHBand="0" w:noVBand="1" w:val="04A0"/>
      </w:tblPr>
      <w:tblGrid>
        <w:gridCol w:w="3475"/>
        <w:gridCol w:w="3475"/>
        <w:gridCol w:w="3475"/>
      </w:tblGrid>
      <w:tr>
        <w:tc>
          <w:tcPr>
            <w:tcW w:type="dxa" w:w="4320"/>
            <w:shd w:fill="0b3254" w:val="clear"/>
          </w:tcPr>
          <w:p>
            <w:r/>
            <w:r>
              <w:rPr>
                <w:rFonts w:ascii="Source Sans Pro" w:hAnsi="Source Sans Pro"/>
                <w:b/>
                <w:color w:val="FFFFFF"/>
                <w:sz w:val="18"/>
              </w:rPr>
              <w:t>Event Type</w:t>
            </w:r>
          </w:p>
        </w:tc>
        <w:tc>
          <w:tcPr>
            <w:tcW w:type="dxa" w:w="1728"/>
            <w:shd w:fill="0b3254" w:val="clear"/>
          </w:tcPr>
          <w:p>
            <w:r/>
            <w:r>
              <w:rPr>
                <w:rFonts w:ascii="Source Sans Pro" w:hAnsi="Source Sans Pro"/>
                <w:b/>
                <w:color w:val="FFFFFF"/>
                <w:sz w:val="18"/>
              </w:rPr>
              <w:t>Count</w:t>
            </w:r>
          </w:p>
        </w:tc>
        <w:tc>
          <w:tcPr>
            <w:tcW w:type="dxa" w:w="1440"/>
            <w:shd w:fill="0b3254" w:val="clear"/>
          </w:tcPr>
          <w:p>
            <w:r/>
            <w:r>
              <w:rPr>
                <w:rFonts w:ascii="Source Sans Pro" w:hAnsi="Source Sans Pro"/>
                <w:b/>
                <w:color w:val="FFFFFF"/>
                <w:sz w:val="18"/>
              </w:rPr>
              <w:t>%</w:t>
            </w:r>
          </w:p>
        </w:tc>
      </w:tr>
      <w:tr>
        <w:tc>
          <w:tcPr>
            <w:tcW w:type="dxa" w:w="4320"/>
            <w:shd w:fill="f0f5fa" w:val="clear"/>
          </w:tcPr>
          <w:p>
            <w:r/>
            <w:r>
              <w:rPr>
                <w:rFonts w:ascii="Source Sans Pro" w:hAnsi="Source Sans Pro"/>
                <w:sz w:val="18"/>
              </w:rPr>
              <w:t>Injury/Illness Sustained</w:t>
            </w:r>
          </w:p>
        </w:tc>
        <w:tc>
          <w:tcPr>
            <w:tcW w:type="dxa" w:w="1728"/>
            <w:shd w:fill="f0f5fa" w:val="clear"/>
          </w:tcPr>
          <w:p>
            <w:r/>
            <w:r>
              <w:rPr>
                <w:rFonts w:ascii="Source Sans Pro" w:hAnsi="Source Sans Pro"/>
                <w:sz w:val="18"/>
              </w:rPr>
              <w:t>1084</w:t>
            </w:r>
          </w:p>
        </w:tc>
        <w:tc>
          <w:tcPr>
            <w:tcW w:type="dxa" w:w="1440"/>
            <w:shd w:fill="f0f5fa" w:val="clear"/>
          </w:tcPr>
          <w:p>
            <w:r/>
            <w:r>
              <w:rPr>
                <w:rFonts w:ascii="Source Sans Pro" w:hAnsi="Source Sans Pro"/>
                <w:sz w:val="18"/>
              </w:rPr>
              <w:t>41.4%</w:t>
            </w:r>
          </w:p>
        </w:tc>
      </w:tr>
      <w:tr>
        <w:tc>
          <w:tcPr>
            <w:tcW w:type="dxa" w:w="4320"/>
            <w:shd w:fill="ffffff" w:val="clear"/>
          </w:tcPr>
          <w:p>
            <w:r/>
            <w:r>
              <w:rPr>
                <w:rFonts w:ascii="Source Sans Pro" w:hAnsi="Source Sans Pro"/>
                <w:sz w:val="18"/>
              </w:rPr>
              <w:t>Equipment/Property Damage</w:t>
            </w:r>
          </w:p>
        </w:tc>
        <w:tc>
          <w:tcPr>
            <w:tcW w:type="dxa" w:w="1728"/>
            <w:shd w:fill="ffffff" w:val="clear"/>
          </w:tcPr>
          <w:p>
            <w:r/>
            <w:r>
              <w:rPr>
                <w:rFonts w:ascii="Source Sans Pro" w:hAnsi="Source Sans Pro"/>
                <w:sz w:val="18"/>
              </w:rPr>
              <w:t>430</w:t>
            </w:r>
          </w:p>
        </w:tc>
        <w:tc>
          <w:tcPr>
            <w:tcW w:type="dxa" w:w="1440"/>
            <w:shd w:fill="ffffff" w:val="clear"/>
          </w:tcPr>
          <w:p>
            <w:r/>
            <w:r>
              <w:rPr>
                <w:rFonts w:ascii="Source Sans Pro" w:hAnsi="Source Sans Pro"/>
                <w:sz w:val="18"/>
              </w:rPr>
              <w:t>16.4%</w:t>
            </w:r>
          </w:p>
        </w:tc>
      </w:tr>
      <w:tr>
        <w:tc>
          <w:tcPr>
            <w:tcW w:type="dxa" w:w="4320"/>
            <w:shd w:fill="f0f5fa" w:val="clear"/>
          </w:tcPr>
          <w:p>
            <w:r/>
            <w:r>
              <w:rPr>
                <w:rFonts w:ascii="Source Sans Pro" w:hAnsi="Source Sans Pro"/>
                <w:sz w:val="18"/>
              </w:rPr>
              <w:t>Motor Vehicle</w:t>
            </w:r>
          </w:p>
        </w:tc>
        <w:tc>
          <w:tcPr>
            <w:tcW w:type="dxa" w:w="1728"/>
            <w:shd w:fill="f0f5fa" w:val="clear"/>
          </w:tcPr>
          <w:p>
            <w:r/>
            <w:r>
              <w:rPr>
                <w:rFonts w:ascii="Source Sans Pro" w:hAnsi="Source Sans Pro"/>
                <w:sz w:val="18"/>
              </w:rPr>
              <w:t>279</w:t>
            </w:r>
          </w:p>
        </w:tc>
        <w:tc>
          <w:tcPr>
            <w:tcW w:type="dxa" w:w="1440"/>
            <w:shd w:fill="f0f5fa" w:val="clear"/>
          </w:tcPr>
          <w:p>
            <w:r/>
            <w:r>
              <w:rPr>
                <w:rFonts w:ascii="Source Sans Pro" w:hAnsi="Source Sans Pro"/>
                <w:sz w:val="18"/>
              </w:rPr>
              <w:t>10.6%</w:t>
            </w:r>
          </w:p>
        </w:tc>
      </w:tr>
      <w:tr>
        <w:tc>
          <w:tcPr>
            <w:tcW w:type="dxa" w:w="4320"/>
            <w:shd w:fill="ffffff" w:val="clear"/>
          </w:tcPr>
          <w:p>
            <w:r/>
            <w:r>
              <w:rPr>
                <w:rFonts w:ascii="Source Sans Pro" w:hAnsi="Source Sans Pro"/>
                <w:sz w:val="18"/>
              </w:rPr>
              <w:t>Close Call</w:t>
            </w:r>
          </w:p>
        </w:tc>
        <w:tc>
          <w:tcPr>
            <w:tcW w:type="dxa" w:w="1728"/>
            <w:shd w:fill="ffffff" w:val="clear"/>
          </w:tcPr>
          <w:p>
            <w:r/>
            <w:r>
              <w:rPr>
                <w:rFonts w:ascii="Source Sans Pro" w:hAnsi="Source Sans Pro"/>
                <w:sz w:val="18"/>
              </w:rPr>
              <w:t>256</w:t>
            </w:r>
          </w:p>
        </w:tc>
        <w:tc>
          <w:tcPr>
            <w:tcW w:type="dxa" w:w="1440"/>
            <w:shd w:fill="ffffff" w:val="clear"/>
          </w:tcPr>
          <w:p>
            <w:r/>
            <w:r>
              <w:rPr>
                <w:rFonts w:ascii="Source Sans Pro" w:hAnsi="Source Sans Pro"/>
                <w:sz w:val="18"/>
              </w:rPr>
              <w:t>9.8%</w:t>
            </w:r>
          </w:p>
        </w:tc>
      </w:tr>
      <w:tr>
        <w:tc>
          <w:tcPr>
            <w:tcW w:type="dxa" w:w="4320"/>
            <w:shd w:fill="f0f5fa" w:val="clear"/>
          </w:tcPr>
          <w:p>
            <w:r/>
            <w:r>
              <w:rPr>
                <w:rFonts w:ascii="Source Sans Pro" w:hAnsi="Source Sans Pro"/>
                <w:sz w:val="18"/>
              </w:rPr>
              <w:t>Nonconformance</w:t>
            </w:r>
          </w:p>
        </w:tc>
        <w:tc>
          <w:tcPr>
            <w:tcW w:type="dxa" w:w="1728"/>
            <w:shd w:fill="f0f5fa" w:val="clear"/>
          </w:tcPr>
          <w:p>
            <w:r/>
            <w:r>
              <w:rPr>
                <w:rFonts w:ascii="Source Sans Pro" w:hAnsi="Source Sans Pro"/>
                <w:sz w:val="18"/>
              </w:rPr>
              <w:t>181</w:t>
            </w:r>
          </w:p>
        </w:tc>
        <w:tc>
          <w:tcPr>
            <w:tcW w:type="dxa" w:w="1440"/>
            <w:shd w:fill="f0f5fa" w:val="clear"/>
          </w:tcPr>
          <w:p>
            <w:r/>
            <w:r>
              <w:rPr>
                <w:rFonts w:ascii="Source Sans Pro" w:hAnsi="Source Sans Pro"/>
                <w:sz w:val="18"/>
              </w:rPr>
              <w:t>6.9%</w:t>
            </w:r>
          </w:p>
        </w:tc>
      </w:tr>
      <w:tr>
        <w:tc>
          <w:tcPr>
            <w:tcW w:type="dxa" w:w="4320"/>
            <w:shd w:fill="ffffff" w:val="clear"/>
          </w:tcPr>
          <w:p>
            <w:r/>
            <w:r>
              <w:rPr>
                <w:rFonts w:ascii="Source Sans Pro" w:hAnsi="Source Sans Pro"/>
                <w:sz w:val="18"/>
              </w:rPr>
              <w:t>Environment</w:t>
            </w:r>
          </w:p>
        </w:tc>
        <w:tc>
          <w:tcPr>
            <w:tcW w:type="dxa" w:w="1728"/>
            <w:shd w:fill="ffffff" w:val="clear"/>
          </w:tcPr>
          <w:p>
            <w:r/>
            <w:r>
              <w:rPr>
                <w:rFonts w:ascii="Source Sans Pro" w:hAnsi="Source Sans Pro"/>
                <w:sz w:val="18"/>
              </w:rPr>
              <w:t>110</w:t>
            </w:r>
          </w:p>
        </w:tc>
        <w:tc>
          <w:tcPr>
            <w:tcW w:type="dxa" w:w="1440"/>
            <w:shd w:fill="ffffff" w:val="clear"/>
          </w:tcPr>
          <w:p>
            <w:r/>
            <w:r>
              <w:rPr>
                <w:rFonts w:ascii="Source Sans Pro" w:hAnsi="Source Sans Pro"/>
                <w:sz w:val="18"/>
              </w:rPr>
              <w:t>4.2%</w:t>
            </w:r>
          </w:p>
        </w:tc>
      </w:tr>
      <w:tr>
        <w:tc>
          <w:tcPr>
            <w:tcW w:type="dxa" w:w="4320"/>
            <w:shd w:fill="f0f5fa" w:val="clear"/>
          </w:tcPr>
          <w:p>
            <w:r/>
            <w:r>
              <w:rPr>
                <w:rFonts w:ascii="Source Sans Pro" w:hAnsi="Source Sans Pro"/>
                <w:sz w:val="18"/>
              </w:rPr>
              <w:t>Utility Strike</w:t>
            </w:r>
          </w:p>
        </w:tc>
        <w:tc>
          <w:tcPr>
            <w:tcW w:type="dxa" w:w="1728"/>
            <w:shd w:fill="f0f5fa" w:val="clear"/>
          </w:tcPr>
          <w:p>
            <w:r/>
            <w:r>
              <w:rPr>
                <w:rFonts w:ascii="Source Sans Pro" w:hAnsi="Source Sans Pro"/>
                <w:sz w:val="18"/>
              </w:rPr>
              <w:t>98</w:t>
            </w:r>
          </w:p>
        </w:tc>
        <w:tc>
          <w:tcPr>
            <w:tcW w:type="dxa" w:w="1440"/>
            <w:shd w:fill="f0f5fa" w:val="clear"/>
          </w:tcPr>
          <w:p>
            <w:r/>
            <w:r>
              <w:rPr>
                <w:rFonts w:ascii="Source Sans Pro" w:hAnsi="Source Sans Pro"/>
                <w:sz w:val="18"/>
              </w:rPr>
              <w:t>3.7%</w:t>
            </w:r>
          </w:p>
        </w:tc>
      </w:tr>
      <w:tr>
        <w:tc>
          <w:tcPr>
            <w:tcW w:type="dxa" w:w="4320"/>
            <w:shd w:fill="ffffff" w:val="clear"/>
          </w:tcPr>
          <w:p>
            <w:r/>
            <w:r>
              <w:rPr>
                <w:rFonts w:ascii="Source Sans Pro" w:hAnsi="Source Sans Pro"/>
                <w:sz w:val="18"/>
              </w:rPr>
              <w:t>Third Party/Public Liability</w:t>
            </w:r>
          </w:p>
        </w:tc>
        <w:tc>
          <w:tcPr>
            <w:tcW w:type="dxa" w:w="1728"/>
            <w:shd w:fill="ffffff" w:val="clear"/>
          </w:tcPr>
          <w:p>
            <w:r/>
            <w:r>
              <w:rPr>
                <w:rFonts w:ascii="Source Sans Pro" w:hAnsi="Source Sans Pro"/>
                <w:sz w:val="18"/>
              </w:rPr>
              <w:t>77</w:t>
            </w:r>
          </w:p>
        </w:tc>
        <w:tc>
          <w:tcPr>
            <w:tcW w:type="dxa" w:w="1440"/>
            <w:shd w:fill="ffffff" w:val="clear"/>
          </w:tcPr>
          <w:p>
            <w:r/>
            <w:r>
              <w:rPr>
                <w:rFonts w:ascii="Source Sans Pro" w:hAnsi="Source Sans Pro"/>
                <w:sz w:val="18"/>
              </w:rPr>
              <w:t>2.9%</w:t>
            </w:r>
          </w:p>
        </w:tc>
      </w:tr>
      <w:tr>
        <w:tc>
          <w:tcPr>
            <w:tcW w:type="dxa" w:w="4320"/>
            <w:shd w:fill="f0f5fa" w:val="clear"/>
          </w:tcPr>
          <w:p>
            <w:r/>
            <w:r>
              <w:rPr>
                <w:rFonts w:ascii="Source Sans Pro" w:hAnsi="Source Sans Pro"/>
                <w:sz w:val="18"/>
              </w:rPr>
              <w:t>Security</w:t>
            </w:r>
          </w:p>
        </w:tc>
        <w:tc>
          <w:tcPr>
            <w:tcW w:type="dxa" w:w="1728"/>
            <w:shd w:fill="f0f5fa" w:val="clear"/>
          </w:tcPr>
          <w:p>
            <w:r/>
            <w:r>
              <w:rPr>
                <w:rFonts w:ascii="Source Sans Pro" w:hAnsi="Source Sans Pro"/>
                <w:sz w:val="18"/>
              </w:rPr>
              <w:t>75</w:t>
            </w:r>
          </w:p>
        </w:tc>
        <w:tc>
          <w:tcPr>
            <w:tcW w:type="dxa" w:w="1440"/>
            <w:shd w:fill="f0f5fa" w:val="clear"/>
          </w:tcPr>
          <w:p>
            <w:r/>
            <w:r>
              <w:rPr>
                <w:rFonts w:ascii="Source Sans Pro" w:hAnsi="Source Sans Pro"/>
                <w:sz w:val="18"/>
              </w:rPr>
              <w:t>2.9%</w:t>
            </w:r>
          </w:p>
        </w:tc>
      </w:tr>
      <w:tr>
        <w:tc>
          <w:tcPr>
            <w:tcW w:type="dxa" w:w="4320"/>
            <w:shd w:fill="ffffff" w:val="clear"/>
          </w:tcPr>
          <w:p>
            <w:r/>
            <w:r>
              <w:rPr>
                <w:rFonts w:ascii="Source Sans Pro" w:hAnsi="Source Sans Pro"/>
                <w:sz w:val="18"/>
              </w:rPr>
              <w:t>Compliance breach/notice</w:t>
            </w:r>
          </w:p>
        </w:tc>
        <w:tc>
          <w:tcPr>
            <w:tcW w:type="dxa" w:w="1728"/>
            <w:shd w:fill="ffffff" w:val="clear"/>
          </w:tcPr>
          <w:p>
            <w:r/>
            <w:r>
              <w:rPr>
                <w:rFonts w:ascii="Source Sans Pro" w:hAnsi="Source Sans Pro"/>
                <w:sz w:val="18"/>
              </w:rPr>
              <w:t>21</w:t>
            </w:r>
          </w:p>
        </w:tc>
        <w:tc>
          <w:tcPr>
            <w:tcW w:type="dxa" w:w="1440"/>
            <w:shd w:fill="ffffff" w:val="clear"/>
          </w:tcPr>
          <w:p>
            <w:r/>
            <w:r>
              <w:rPr>
                <w:rFonts w:ascii="Source Sans Pro" w:hAnsi="Source Sans Pro"/>
                <w:sz w:val="18"/>
              </w:rPr>
              <w:t>0.8%</w:t>
            </w:r>
          </w:p>
        </w:tc>
      </w:tr>
      <w:tr>
        <w:tc>
          <w:tcPr>
            <w:tcW w:type="dxa" w:w="4320"/>
            <w:shd w:fill="f0f5fa" w:val="clear"/>
          </w:tcPr>
          <w:p>
            <w:r/>
            <w:r>
              <w:rPr>
                <w:rFonts w:ascii="Source Sans Pro" w:hAnsi="Source Sans Pro"/>
                <w:sz w:val="18"/>
              </w:rPr>
              <w:t>Assault</w:t>
            </w:r>
          </w:p>
        </w:tc>
        <w:tc>
          <w:tcPr>
            <w:tcW w:type="dxa" w:w="1728"/>
            <w:shd w:fill="f0f5fa" w:val="clear"/>
          </w:tcPr>
          <w:p>
            <w:r/>
            <w:r>
              <w:rPr>
                <w:rFonts w:ascii="Source Sans Pro" w:hAnsi="Source Sans Pro"/>
                <w:sz w:val="18"/>
              </w:rPr>
              <w:t>10</w:t>
            </w:r>
          </w:p>
        </w:tc>
        <w:tc>
          <w:tcPr>
            <w:tcW w:type="dxa" w:w="1440"/>
            <w:shd w:fill="f0f5fa" w:val="clear"/>
          </w:tcPr>
          <w:p>
            <w:r/>
            <w:r>
              <w:rPr>
                <w:rFonts w:ascii="Source Sans Pro" w:hAnsi="Source Sans Pro"/>
                <w:sz w:val="18"/>
              </w:rPr>
              <w:t>0.4%</w:t>
            </w:r>
          </w:p>
        </w:tc>
      </w:tr>
    </w:tbl>
    <w:p/>
    <w:p>
      <w:pPr>
        <w:pStyle w:val="Heading2"/>
      </w:pPr>
      <w:r>
        <w:t>3.4 Critical Risk Protocols Involved</w:t>
      </w:r>
    </w:p>
    <w:tbl>
      <w:tblPr>
        <w:tblStyle w:val="TableGrid"/>
        <w:tblW w:type="auto" w:w="0"/>
        <w:jc w:val="left"/>
        <w:tblLook w:firstColumn="1" w:firstRow="1" w:lastColumn="0" w:lastRow="0" w:noHBand="0" w:noVBand="1" w:val="04A0"/>
      </w:tblPr>
      <w:tblGrid>
        <w:gridCol w:w="5213"/>
        <w:gridCol w:w="5213"/>
      </w:tblGrid>
      <w:tr>
        <w:tc>
          <w:tcPr>
            <w:tcW w:type="dxa" w:w="5760"/>
            <w:shd w:fill="0b3254" w:val="clear"/>
          </w:tcPr>
          <w:p>
            <w:r/>
            <w:r>
              <w:rPr>
                <w:rFonts w:ascii="Source Sans Pro" w:hAnsi="Source Sans Pro"/>
                <w:b/>
                <w:color w:val="FFFFFF"/>
                <w:sz w:val="18"/>
              </w:rPr>
              <w:t>CRP</w:t>
            </w:r>
          </w:p>
        </w:tc>
        <w:tc>
          <w:tcPr>
            <w:tcW w:type="dxa" w:w="2160"/>
            <w:shd w:fill="0b3254" w:val="clear"/>
          </w:tcPr>
          <w:p>
            <w:r/>
            <w:r>
              <w:rPr>
                <w:rFonts w:ascii="Source Sans Pro" w:hAnsi="Source Sans Pro"/>
                <w:b/>
                <w:color w:val="FFFFFF"/>
                <w:sz w:val="18"/>
              </w:rPr>
              <w:t>Count</w:t>
            </w:r>
          </w:p>
        </w:tc>
      </w:tr>
      <w:tr>
        <w:tc>
          <w:tcPr>
            <w:tcW w:type="dxa" w:w="5760"/>
            <w:shd w:fill="f0f5fa" w:val="clear"/>
          </w:tcPr>
          <w:p>
            <w:r/>
            <w:r>
              <w:rPr>
                <w:rFonts w:ascii="Source Sans Pro" w:hAnsi="Source Sans Pro"/>
                <w:sz w:val="18"/>
              </w:rPr>
              <w:t>CRP-Mobile Plant</w:t>
            </w:r>
          </w:p>
        </w:tc>
        <w:tc>
          <w:tcPr>
            <w:tcW w:type="dxa" w:w="2160"/>
            <w:shd w:fill="f0f5fa" w:val="clear"/>
          </w:tcPr>
          <w:p>
            <w:r/>
            <w:r>
              <w:rPr>
                <w:rFonts w:ascii="Source Sans Pro" w:hAnsi="Source Sans Pro"/>
                <w:sz w:val="18"/>
              </w:rPr>
              <w:t>141</w:t>
            </w:r>
          </w:p>
        </w:tc>
      </w:tr>
      <w:tr>
        <w:tc>
          <w:tcPr>
            <w:tcW w:type="dxa" w:w="5760"/>
            <w:shd w:fill="ffffff" w:val="clear"/>
          </w:tcPr>
          <w:p>
            <w:r/>
            <w:r>
              <w:rPr>
                <w:rFonts w:ascii="Source Sans Pro" w:hAnsi="Source Sans Pro"/>
                <w:sz w:val="18"/>
              </w:rPr>
              <w:t>CRP-Driving &amp; Remote Travel</w:t>
            </w:r>
          </w:p>
        </w:tc>
        <w:tc>
          <w:tcPr>
            <w:tcW w:type="dxa" w:w="2160"/>
            <w:shd w:fill="ffffff" w:val="clear"/>
          </w:tcPr>
          <w:p>
            <w:r/>
            <w:r>
              <w:rPr>
                <w:rFonts w:ascii="Source Sans Pro" w:hAnsi="Source Sans Pro"/>
                <w:sz w:val="18"/>
              </w:rPr>
              <w:t>137</w:t>
            </w:r>
          </w:p>
        </w:tc>
      </w:tr>
      <w:tr>
        <w:tc>
          <w:tcPr>
            <w:tcW w:type="dxa" w:w="5760"/>
            <w:shd w:fill="f0f5fa" w:val="clear"/>
          </w:tcPr>
          <w:p>
            <w:r/>
            <w:r>
              <w:rPr>
                <w:rFonts w:ascii="Source Sans Pro" w:hAnsi="Source Sans Pro"/>
                <w:sz w:val="18"/>
              </w:rPr>
              <w:t>CRP-Driving and Remote Travel</w:t>
            </w:r>
          </w:p>
        </w:tc>
        <w:tc>
          <w:tcPr>
            <w:tcW w:type="dxa" w:w="2160"/>
            <w:shd w:fill="f0f5fa" w:val="clear"/>
          </w:tcPr>
          <w:p>
            <w:r/>
            <w:r>
              <w:rPr>
                <w:rFonts w:ascii="Source Sans Pro" w:hAnsi="Source Sans Pro"/>
                <w:sz w:val="18"/>
              </w:rPr>
              <w:t>119</w:t>
            </w:r>
          </w:p>
        </w:tc>
      </w:tr>
      <w:tr>
        <w:tc>
          <w:tcPr>
            <w:tcW w:type="dxa" w:w="5760"/>
            <w:shd w:fill="ffffff" w:val="clear"/>
          </w:tcPr>
          <w:p>
            <w:r/>
            <w:r>
              <w:rPr>
                <w:rFonts w:ascii="Source Sans Pro" w:hAnsi="Source Sans Pro"/>
                <w:sz w:val="18"/>
              </w:rPr>
              <w:t>CRP-Hazardous Energy</w:t>
            </w:r>
          </w:p>
        </w:tc>
        <w:tc>
          <w:tcPr>
            <w:tcW w:type="dxa" w:w="2160"/>
            <w:shd w:fill="ffffff" w:val="clear"/>
          </w:tcPr>
          <w:p>
            <w:r/>
            <w:r>
              <w:rPr>
                <w:rFonts w:ascii="Source Sans Pro" w:hAnsi="Source Sans Pro"/>
                <w:sz w:val="18"/>
              </w:rPr>
              <w:t>54</w:t>
            </w:r>
          </w:p>
        </w:tc>
      </w:tr>
      <w:tr>
        <w:tc>
          <w:tcPr>
            <w:tcW w:type="dxa" w:w="5760"/>
            <w:shd w:fill="f0f5fa" w:val="clear"/>
          </w:tcPr>
          <w:p>
            <w:r/>
            <w:r>
              <w:rPr>
                <w:rFonts w:ascii="Source Sans Pro" w:hAnsi="Source Sans Pro"/>
                <w:sz w:val="18"/>
              </w:rPr>
              <w:t>CRP-Lifting Operations</w:t>
            </w:r>
          </w:p>
        </w:tc>
        <w:tc>
          <w:tcPr>
            <w:tcW w:type="dxa" w:w="2160"/>
            <w:shd w:fill="f0f5fa" w:val="clear"/>
          </w:tcPr>
          <w:p>
            <w:r/>
            <w:r>
              <w:rPr>
                <w:rFonts w:ascii="Source Sans Pro" w:hAnsi="Source Sans Pro"/>
                <w:sz w:val="18"/>
              </w:rPr>
              <w:t>49</w:t>
            </w:r>
          </w:p>
        </w:tc>
      </w:tr>
      <w:tr>
        <w:tc>
          <w:tcPr>
            <w:tcW w:type="dxa" w:w="5760"/>
            <w:shd w:fill="ffffff" w:val="clear"/>
          </w:tcPr>
          <w:p>
            <w:r/>
            <w:r>
              <w:rPr>
                <w:rFonts w:ascii="Source Sans Pro" w:hAnsi="Source Sans Pro"/>
                <w:sz w:val="18"/>
              </w:rPr>
              <w:t>CRP-Live Services</w:t>
            </w:r>
          </w:p>
        </w:tc>
        <w:tc>
          <w:tcPr>
            <w:tcW w:type="dxa" w:w="2160"/>
            <w:shd w:fill="ffffff" w:val="clear"/>
          </w:tcPr>
          <w:p>
            <w:r/>
            <w:r>
              <w:rPr>
                <w:rFonts w:ascii="Source Sans Pro" w:hAnsi="Source Sans Pro"/>
                <w:sz w:val="18"/>
              </w:rPr>
              <w:t>39</w:t>
            </w:r>
          </w:p>
        </w:tc>
      </w:tr>
      <w:tr>
        <w:tc>
          <w:tcPr>
            <w:tcW w:type="dxa" w:w="5760"/>
            <w:shd w:fill="f0f5fa" w:val="clear"/>
          </w:tcPr>
          <w:p>
            <w:r/>
            <w:r>
              <w:rPr>
                <w:rFonts w:ascii="Source Sans Pro" w:hAnsi="Source Sans Pro"/>
                <w:sz w:val="18"/>
              </w:rPr>
              <w:t>CRP-Excavations</w:t>
            </w:r>
          </w:p>
        </w:tc>
        <w:tc>
          <w:tcPr>
            <w:tcW w:type="dxa" w:w="2160"/>
            <w:shd w:fill="f0f5fa" w:val="clear"/>
          </w:tcPr>
          <w:p>
            <w:r/>
            <w:r>
              <w:rPr>
                <w:rFonts w:ascii="Source Sans Pro" w:hAnsi="Source Sans Pro"/>
                <w:sz w:val="18"/>
              </w:rPr>
              <w:t>38</w:t>
            </w:r>
          </w:p>
        </w:tc>
      </w:tr>
      <w:tr>
        <w:tc>
          <w:tcPr>
            <w:tcW w:type="dxa" w:w="5760"/>
            <w:shd w:fill="ffffff" w:val="clear"/>
          </w:tcPr>
          <w:p>
            <w:r/>
            <w:r>
              <w:rPr>
                <w:rFonts w:ascii="Source Sans Pro" w:hAnsi="Source Sans Pro"/>
                <w:sz w:val="18"/>
              </w:rPr>
              <w:t>CRP-Hazardous Substances</w:t>
            </w:r>
          </w:p>
        </w:tc>
        <w:tc>
          <w:tcPr>
            <w:tcW w:type="dxa" w:w="2160"/>
            <w:shd w:fill="ffffff" w:val="clear"/>
          </w:tcPr>
          <w:p>
            <w:r/>
            <w:r>
              <w:rPr>
                <w:rFonts w:ascii="Source Sans Pro" w:hAnsi="Source Sans Pro"/>
                <w:sz w:val="18"/>
              </w:rPr>
              <w:t>37</w:t>
            </w:r>
          </w:p>
        </w:tc>
      </w:tr>
      <w:tr>
        <w:tc>
          <w:tcPr>
            <w:tcW w:type="dxa" w:w="5760"/>
            <w:shd w:fill="f0f5fa" w:val="clear"/>
          </w:tcPr>
          <w:p>
            <w:r/>
            <w:r>
              <w:rPr>
                <w:rFonts w:ascii="Source Sans Pro" w:hAnsi="Source Sans Pro"/>
                <w:sz w:val="18"/>
              </w:rPr>
              <w:t>CRP-Hazardous Energies</w:t>
            </w:r>
          </w:p>
        </w:tc>
        <w:tc>
          <w:tcPr>
            <w:tcW w:type="dxa" w:w="2160"/>
            <w:shd w:fill="f0f5fa" w:val="clear"/>
          </w:tcPr>
          <w:p>
            <w:r/>
            <w:r>
              <w:rPr>
                <w:rFonts w:ascii="Source Sans Pro" w:hAnsi="Source Sans Pro"/>
                <w:sz w:val="18"/>
              </w:rPr>
              <w:t>35</w:t>
            </w:r>
          </w:p>
        </w:tc>
      </w:tr>
      <w:tr>
        <w:tc>
          <w:tcPr>
            <w:tcW w:type="dxa" w:w="5760"/>
            <w:shd w:fill="ffffff" w:val="clear"/>
          </w:tcPr>
          <w:p>
            <w:r/>
            <w:r>
              <w:rPr>
                <w:rFonts w:ascii="Source Sans Pro" w:hAnsi="Source Sans Pro"/>
                <w:sz w:val="18"/>
              </w:rPr>
              <w:t>CRP-Working Near Live Services</w:t>
            </w:r>
          </w:p>
        </w:tc>
        <w:tc>
          <w:tcPr>
            <w:tcW w:type="dxa" w:w="2160"/>
            <w:shd w:fill="ffffff" w:val="clear"/>
          </w:tcPr>
          <w:p>
            <w:r/>
            <w:r>
              <w:rPr>
                <w:rFonts w:ascii="Source Sans Pro" w:hAnsi="Source Sans Pro"/>
                <w:sz w:val="18"/>
              </w:rPr>
              <w:t>25</w:t>
            </w:r>
          </w:p>
        </w:tc>
      </w:tr>
    </w:tbl>
    <w:p/>
    <w:p>
      <w:pPr>
        <w:pStyle w:val="Heading2"/>
      </w:pPr>
      <w:r>
        <w:t>3.5 Root Cause Categories</w:t>
      </w:r>
    </w:p>
    <w:tbl>
      <w:tblPr>
        <w:tblStyle w:val="TableGrid"/>
        <w:tblW w:type="auto" w:w="0"/>
        <w:jc w:val="left"/>
        <w:tblLook w:firstColumn="1" w:firstRow="1" w:lastColumn="0" w:lastRow="0" w:noHBand="0" w:noVBand="1" w:val="04A0"/>
      </w:tblPr>
      <w:tblGrid>
        <w:gridCol w:w="5213"/>
        <w:gridCol w:w="5213"/>
      </w:tblGrid>
      <w:tr>
        <w:tc>
          <w:tcPr>
            <w:tcW w:type="dxa" w:w="5760"/>
            <w:shd w:fill="0b3254" w:val="clear"/>
          </w:tcPr>
          <w:p>
            <w:r/>
            <w:r>
              <w:rPr>
                <w:rFonts w:ascii="Source Sans Pro" w:hAnsi="Source Sans Pro"/>
                <w:b/>
                <w:color w:val="FFFFFF"/>
                <w:sz w:val="18"/>
              </w:rPr>
              <w:t>Root Cause</w:t>
            </w:r>
          </w:p>
        </w:tc>
        <w:tc>
          <w:tcPr>
            <w:tcW w:type="dxa" w:w="2160"/>
            <w:shd w:fill="0b3254" w:val="clear"/>
          </w:tcPr>
          <w:p>
            <w:r/>
            <w:r>
              <w:rPr>
                <w:rFonts w:ascii="Source Sans Pro" w:hAnsi="Source Sans Pro"/>
                <w:b/>
                <w:color w:val="FFFFFF"/>
                <w:sz w:val="18"/>
              </w:rPr>
              <w:t>Count</w:t>
            </w:r>
          </w:p>
        </w:tc>
      </w:tr>
      <w:tr>
        <w:tc>
          <w:tcPr>
            <w:tcW w:type="dxa" w:w="5760"/>
            <w:shd w:fill="f0f5fa" w:val="clear"/>
          </w:tcPr>
          <w:p>
            <w:r/>
            <w:r>
              <w:rPr>
                <w:rFonts w:ascii="Source Sans Pro" w:hAnsi="Source Sans Pro"/>
                <w:sz w:val="18"/>
              </w:rPr>
              <w:t>External Factors</w:t>
            </w:r>
          </w:p>
        </w:tc>
        <w:tc>
          <w:tcPr>
            <w:tcW w:type="dxa" w:w="2160"/>
            <w:shd w:fill="f0f5fa" w:val="clear"/>
          </w:tcPr>
          <w:p>
            <w:r/>
            <w:r>
              <w:rPr>
                <w:rFonts w:ascii="Source Sans Pro" w:hAnsi="Source Sans Pro"/>
                <w:sz w:val="18"/>
              </w:rPr>
              <w:t>986</w:t>
            </w:r>
          </w:p>
        </w:tc>
      </w:tr>
      <w:tr>
        <w:tc>
          <w:tcPr>
            <w:tcW w:type="dxa" w:w="5760"/>
            <w:shd w:fill="ffffff" w:val="clear"/>
          </w:tcPr>
          <w:p>
            <w:r/>
            <w:r>
              <w:rPr>
                <w:rFonts w:ascii="Source Sans Pro" w:hAnsi="Source Sans Pro"/>
                <w:sz w:val="18"/>
              </w:rPr>
              <w:t>People</w:t>
            </w:r>
          </w:p>
        </w:tc>
        <w:tc>
          <w:tcPr>
            <w:tcW w:type="dxa" w:w="2160"/>
            <w:shd w:fill="ffffff" w:val="clear"/>
          </w:tcPr>
          <w:p>
            <w:r/>
            <w:r>
              <w:rPr>
                <w:rFonts w:ascii="Source Sans Pro" w:hAnsi="Source Sans Pro"/>
                <w:sz w:val="18"/>
              </w:rPr>
              <w:t>965</w:t>
            </w:r>
          </w:p>
        </w:tc>
      </w:tr>
      <w:tr>
        <w:tc>
          <w:tcPr>
            <w:tcW w:type="dxa" w:w="5760"/>
            <w:shd w:fill="f0f5fa" w:val="clear"/>
          </w:tcPr>
          <w:p>
            <w:r/>
            <w:r>
              <w:rPr>
                <w:rFonts w:ascii="Source Sans Pro" w:hAnsi="Source Sans Pro"/>
                <w:sz w:val="18"/>
              </w:rPr>
              <w:t>Production / Delivery</w:t>
            </w:r>
          </w:p>
        </w:tc>
        <w:tc>
          <w:tcPr>
            <w:tcW w:type="dxa" w:w="2160"/>
            <w:shd w:fill="f0f5fa" w:val="clear"/>
          </w:tcPr>
          <w:p>
            <w:r/>
            <w:r>
              <w:rPr>
                <w:rFonts w:ascii="Source Sans Pro" w:hAnsi="Source Sans Pro"/>
                <w:sz w:val="18"/>
              </w:rPr>
              <w:t>324</w:t>
            </w:r>
          </w:p>
        </w:tc>
      </w:tr>
      <w:tr>
        <w:tc>
          <w:tcPr>
            <w:tcW w:type="dxa" w:w="5760"/>
            <w:shd w:fill="ffffff" w:val="clear"/>
          </w:tcPr>
          <w:p>
            <w:r/>
            <w:r>
              <w:rPr>
                <w:rFonts w:ascii="Source Sans Pro" w:hAnsi="Source Sans Pro"/>
                <w:sz w:val="18"/>
              </w:rPr>
              <w:t>Process</w:t>
            </w:r>
          </w:p>
        </w:tc>
        <w:tc>
          <w:tcPr>
            <w:tcW w:type="dxa" w:w="2160"/>
            <w:shd w:fill="ffffff" w:val="clear"/>
          </w:tcPr>
          <w:p>
            <w:r/>
            <w:r>
              <w:rPr>
                <w:rFonts w:ascii="Source Sans Pro" w:hAnsi="Source Sans Pro"/>
                <w:sz w:val="18"/>
              </w:rPr>
              <w:t>226</w:t>
            </w:r>
          </w:p>
        </w:tc>
      </w:tr>
      <w:tr>
        <w:tc>
          <w:tcPr>
            <w:tcW w:type="dxa" w:w="5760"/>
            <w:shd w:fill="f0f5fa" w:val="clear"/>
          </w:tcPr>
          <w:p>
            <w:r/>
            <w:r>
              <w:rPr>
                <w:rFonts w:ascii="Source Sans Pro" w:hAnsi="Source Sans Pro"/>
                <w:sz w:val="18"/>
              </w:rPr>
              <w:t>Planning</w:t>
            </w:r>
          </w:p>
        </w:tc>
        <w:tc>
          <w:tcPr>
            <w:tcW w:type="dxa" w:w="2160"/>
            <w:shd w:fill="f0f5fa" w:val="clear"/>
          </w:tcPr>
          <w:p>
            <w:r/>
            <w:r>
              <w:rPr>
                <w:rFonts w:ascii="Source Sans Pro" w:hAnsi="Source Sans Pro"/>
                <w:sz w:val="18"/>
              </w:rPr>
              <w:t>86</w:t>
            </w:r>
          </w:p>
        </w:tc>
      </w:tr>
      <w:tr>
        <w:tc>
          <w:tcPr>
            <w:tcW w:type="dxa" w:w="5760"/>
            <w:shd w:fill="ffffff" w:val="clear"/>
          </w:tcPr>
          <w:p>
            <w:r/>
            <w:r>
              <w:rPr>
                <w:rFonts w:ascii="Source Sans Pro" w:hAnsi="Source Sans Pro"/>
                <w:sz w:val="18"/>
              </w:rPr>
              <w:t>Providers</w:t>
            </w:r>
          </w:p>
        </w:tc>
        <w:tc>
          <w:tcPr>
            <w:tcW w:type="dxa" w:w="2160"/>
            <w:shd w:fill="ffffff" w:val="clear"/>
          </w:tcPr>
          <w:p>
            <w:r/>
            <w:r>
              <w:rPr>
                <w:rFonts w:ascii="Source Sans Pro" w:hAnsi="Source Sans Pro"/>
                <w:sz w:val="18"/>
              </w:rPr>
              <w:t>20</w:t>
            </w:r>
          </w:p>
        </w:tc>
      </w:tr>
    </w:tbl>
    <w:p/>
    <w:p>
      <w:pPr>
        <w:pStyle w:val="Heading2"/>
      </w:pPr>
      <w:r>
        <w:t>3.6 Serious Event Hotspots</w:t>
      </w:r>
    </w:p>
    <w:p>
      <w:r>
        <w:rPr>
          <w:rFonts w:ascii="Source Sans Pro" w:hAnsi="Source Sans Pro"/>
          <w:b w:val="0"/>
          <w:i w:val="0"/>
          <w:color w:val="0B3254"/>
          <w:sz w:val="22"/>
        </w:rPr>
        <w:t>These are the projects and locations with the highest counts of moderate, major, or substantial events in the analysis window.</w:t>
      </w:r>
    </w:p>
    <w:tbl>
      <w:tblPr>
        <w:tblStyle w:val="TableGrid"/>
        <w:tblW w:type="auto" w:w="0"/>
        <w:jc w:val="left"/>
        <w:tblLook w:firstColumn="1" w:firstRow="1" w:lastColumn="0" w:lastRow="0" w:noHBand="0" w:noVBand="1" w:val="04A0"/>
      </w:tblPr>
      <w:tblGrid>
        <w:gridCol w:w="5213"/>
        <w:gridCol w:w="5213"/>
      </w:tblGrid>
      <w:tr>
        <w:tc>
          <w:tcPr>
            <w:tcW w:type="dxa" w:w="5760"/>
            <w:shd w:fill="0b3254" w:val="clear"/>
          </w:tcPr>
          <w:p>
            <w:r/>
            <w:r>
              <w:rPr>
                <w:rFonts w:ascii="Source Sans Pro" w:hAnsi="Source Sans Pro"/>
                <w:b/>
                <w:color w:val="FFFFFF"/>
                <w:sz w:val="18"/>
              </w:rPr>
              <w:t>Project</w:t>
            </w:r>
          </w:p>
        </w:tc>
        <w:tc>
          <w:tcPr>
            <w:tcW w:type="dxa" w:w="2160"/>
            <w:shd w:fill="0b3254" w:val="clear"/>
          </w:tcPr>
          <w:p>
            <w:r/>
            <w:r>
              <w:rPr>
                <w:rFonts w:ascii="Source Sans Pro" w:hAnsi="Source Sans Pro"/>
                <w:b/>
                <w:color w:val="FFFFFF"/>
                <w:sz w:val="18"/>
              </w:rPr>
              <w:t>Serious Events</w:t>
            </w:r>
          </w:p>
        </w:tc>
      </w:tr>
      <w:tr>
        <w:tc>
          <w:tcPr>
            <w:tcW w:type="dxa" w:w="5760"/>
            <w:shd w:fill="f0f5fa" w:val="clear"/>
          </w:tcPr>
          <w:p>
            <w:r/>
            <w:r>
              <w:rPr>
                <w:rFonts w:ascii="Source Sans Pro" w:hAnsi="Source Sans Pro"/>
                <w:sz w:val="18"/>
              </w:rPr>
              <w:t>Far North Waters</w:t>
            </w:r>
          </w:p>
        </w:tc>
        <w:tc>
          <w:tcPr>
            <w:tcW w:type="dxa" w:w="2160"/>
            <w:shd w:fill="f0f5fa" w:val="clear"/>
          </w:tcPr>
          <w:p>
            <w:r/>
            <w:r>
              <w:rPr>
                <w:rFonts w:ascii="Source Sans Pro" w:hAnsi="Source Sans Pro"/>
                <w:sz w:val="18"/>
              </w:rPr>
              <w:t>11</w:t>
            </w:r>
          </w:p>
        </w:tc>
      </w:tr>
      <w:tr>
        <w:tc>
          <w:tcPr>
            <w:tcW w:type="dxa" w:w="5760"/>
            <w:shd w:fill="ffffff" w:val="clear"/>
          </w:tcPr>
          <w:p>
            <w:r/>
            <w:r>
              <w:rPr>
                <w:rFonts w:ascii="Source Sans Pro" w:hAnsi="Source Sans Pro"/>
                <w:sz w:val="18"/>
              </w:rPr>
              <w:t>ENR NZ South</w:t>
            </w:r>
          </w:p>
        </w:tc>
        <w:tc>
          <w:tcPr>
            <w:tcW w:type="dxa" w:w="2160"/>
            <w:shd w:fill="ffffff" w:val="clear"/>
          </w:tcPr>
          <w:p>
            <w:r/>
            <w:r>
              <w:rPr>
                <w:rFonts w:ascii="Source Sans Pro" w:hAnsi="Source Sans Pro"/>
                <w:sz w:val="18"/>
              </w:rPr>
              <w:t>9</w:t>
            </w:r>
          </w:p>
        </w:tc>
      </w:tr>
      <w:tr>
        <w:tc>
          <w:tcPr>
            <w:tcW w:type="dxa" w:w="5760"/>
            <w:shd w:fill="f0f5fa" w:val="clear"/>
          </w:tcPr>
          <w:p>
            <w:r/>
            <w:r>
              <w:rPr>
                <w:rFonts w:ascii="Source Sans Pro" w:hAnsi="Source Sans Pro"/>
                <w:sz w:val="18"/>
              </w:rPr>
              <w:t>Utilita</w:t>
            </w:r>
          </w:p>
        </w:tc>
        <w:tc>
          <w:tcPr>
            <w:tcW w:type="dxa" w:w="2160"/>
            <w:shd w:fill="f0f5fa" w:val="clear"/>
          </w:tcPr>
          <w:p>
            <w:r/>
            <w:r>
              <w:rPr>
                <w:rFonts w:ascii="Source Sans Pro" w:hAnsi="Source Sans Pro"/>
                <w:sz w:val="18"/>
              </w:rPr>
              <w:t>8</w:t>
            </w:r>
          </w:p>
        </w:tc>
      </w:tr>
      <w:tr>
        <w:tc>
          <w:tcPr>
            <w:tcW w:type="dxa" w:w="5760"/>
            <w:shd w:fill="ffffff" w:val="clear"/>
          </w:tcPr>
          <w:p>
            <w:r/>
            <w:r>
              <w:rPr>
                <w:rFonts w:ascii="Source Sans Pro" w:hAnsi="Source Sans Pro"/>
                <w:sz w:val="18"/>
              </w:rPr>
              <w:t>WSO</w:t>
            </w:r>
          </w:p>
        </w:tc>
        <w:tc>
          <w:tcPr>
            <w:tcW w:type="dxa" w:w="2160"/>
            <w:shd w:fill="ffffff" w:val="clear"/>
          </w:tcPr>
          <w:p>
            <w:r/>
            <w:r>
              <w:rPr>
                <w:rFonts w:ascii="Source Sans Pro" w:hAnsi="Source Sans Pro"/>
                <w:sz w:val="18"/>
              </w:rPr>
              <w:t>7</w:t>
            </w:r>
          </w:p>
        </w:tc>
      </w:tr>
      <w:tr>
        <w:tc>
          <w:tcPr>
            <w:tcW w:type="dxa" w:w="5760"/>
            <w:shd w:fill="f0f5fa" w:val="clear"/>
          </w:tcPr>
          <w:p>
            <w:r/>
            <w:r>
              <w:rPr>
                <w:rFonts w:ascii="Source Sans Pro" w:hAnsi="Source Sans Pro"/>
                <w:sz w:val="18"/>
              </w:rPr>
              <w:t>ENR NZ Central</w:t>
            </w:r>
          </w:p>
        </w:tc>
        <w:tc>
          <w:tcPr>
            <w:tcW w:type="dxa" w:w="2160"/>
            <w:shd w:fill="f0f5fa" w:val="clear"/>
          </w:tcPr>
          <w:p>
            <w:r/>
            <w:r>
              <w:rPr>
                <w:rFonts w:ascii="Source Sans Pro" w:hAnsi="Source Sans Pro"/>
                <w:sz w:val="18"/>
              </w:rPr>
              <w:t>5</w:t>
            </w:r>
          </w:p>
        </w:tc>
      </w:tr>
      <w:tr>
        <w:tc>
          <w:tcPr>
            <w:tcW w:type="dxa" w:w="5760"/>
            <w:shd w:fill="ffffff" w:val="clear"/>
          </w:tcPr>
          <w:p>
            <w:r/>
            <w:r>
              <w:rPr>
                <w:rFonts w:ascii="Source Sans Pro" w:hAnsi="Source Sans Pro"/>
                <w:sz w:val="18"/>
              </w:rPr>
              <w:t>Project Services</w:t>
            </w:r>
          </w:p>
        </w:tc>
        <w:tc>
          <w:tcPr>
            <w:tcW w:type="dxa" w:w="2160"/>
            <w:shd w:fill="ffffff" w:val="clear"/>
          </w:tcPr>
          <w:p>
            <w:r/>
            <w:r>
              <w:rPr>
                <w:rFonts w:ascii="Source Sans Pro" w:hAnsi="Source Sans Pro"/>
                <w:sz w:val="18"/>
              </w:rPr>
              <w:t>5</w:t>
            </w:r>
          </w:p>
        </w:tc>
      </w:tr>
      <w:tr>
        <w:tc>
          <w:tcPr>
            <w:tcW w:type="dxa" w:w="5760"/>
            <w:shd w:fill="f0f5fa" w:val="clear"/>
          </w:tcPr>
          <w:p>
            <w:r/>
            <w:r>
              <w:rPr>
                <w:rFonts w:ascii="Source Sans Pro" w:hAnsi="Source Sans Pro"/>
                <w:sz w:val="18"/>
              </w:rPr>
              <w:t>Yarra Valley Water O&amp;M</w:t>
            </w:r>
          </w:p>
        </w:tc>
        <w:tc>
          <w:tcPr>
            <w:tcW w:type="dxa" w:w="2160"/>
            <w:shd w:fill="f0f5fa" w:val="clear"/>
          </w:tcPr>
          <w:p>
            <w:r/>
            <w:r>
              <w:rPr>
                <w:rFonts w:ascii="Source Sans Pro" w:hAnsi="Source Sans Pro"/>
                <w:sz w:val="18"/>
              </w:rPr>
              <w:t>4</w:t>
            </w:r>
          </w:p>
        </w:tc>
      </w:tr>
      <w:tr>
        <w:tc>
          <w:tcPr>
            <w:tcW w:type="dxa" w:w="5760"/>
            <w:shd w:fill="ffffff" w:val="clear"/>
          </w:tcPr>
          <w:p>
            <w:r/>
            <w:r>
              <w:rPr>
                <w:rFonts w:ascii="Source Sans Pro" w:hAnsi="Source Sans Pro"/>
                <w:sz w:val="18"/>
              </w:rPr>
              <w:t>ENR Aust - QLD</w:t>
            </w:r>
          </w:p>
        </w:tc>
        <w:tc>
          <w:tcPr>
            <w:tcW w:type="dxa" w:w="2160"/>
            <w:shd w:fill="ffffff" w:val="clear"/>
          </w:tcPr>
          <w:p>
            <w:r/>
            <w:r>
              <w:rPr>
                <w:rFonts w:ascii="Source Sans Pro" w:hAnsi="Source Sans Pro"/>
                <w:sz w:val="18"/>
              </w:rPr>
              <w:t>4</w:t>
            </w:r>
          </w:p>
        </w:tc>
      </w:tr>
    </w:tbl>
    <w:p/>
    <w:tbl>
      <w:tblPr>
        <w:tblStyle w:val="TableGrid"/>
        <w:tblW w:type="auto" w:w="0"/>
        <w:jc w:val="left"/>
        <w:tblLook w:firstColumn="1" w:firstRow="1" w:lastColumn="0" w:lastRow="0" w:noHBand="0" w:noVBand="1" w:val="04A0"/>
      </w:tblPr>
      <w:tblGrid>
        <w:gridCol w:w="5213"/>
        <w:gridCol w:w="5213"/>
      </w:tblGrid>
      <w:tr>
        <w:tc>
          <w:tcPr>
            <w:tcW w:type="dxa" w:w="5760"/>
            <w:shd w:fill="0b3254" w:val="clear"/>
          </w:tcPr>
          <w:p>
            <w:r/>
            <w:r>
              <w:rPr>
                <w:rFonts w:ascii="Source Sans Pro" w:hAnsi="Source Sans Pro"/>
                <w:b/>
                <w:color w:val="FFFFFF"/>
                <w:sz w:val="18"/>
              </w:rPr>
              <w:t>Location</w:t>
            </w:r>
          </w:p>
        </w:tc>
        <w:tc>
          <w:tcPr>
            <w:tcW w:type="dxa" w:w="2160"/>
            <w:shd w:fill="0b3254" w:val="clear"/>
          </w:tcPr>
          <w:p>
            <w:r/>
            <w:r>
              <w:rPr>
                <w:rFonts w:ascii="Source Sans Pro" w:hAnsi="Source Sans Pro"/>
                <w:b/>
                <w:color w:val="FFFFFF"/>
                <w:sz w:val="18"/>
              </w:rPr>
              <w:t>Serious Events</w:t>
            </w:r>
          </w:p>
        </w:tc>
      </w:tr>
      <w:tr>
        <w:tc>
          <w:tcPr>
            <w:tcW w:type="dxa" w:w="5760"/>
            <w:shd w:fill="f0f5fa" w:val="clear"/>
          </w:tcPr>
          <w:p>
            <w:r/>
            <w:r>
              <w:rPr>
                <w:rFonts w:ascii="Source Sans Pro" w:hAnsi="Source Sans Pro"/>
                <w:sz w:val="18"/>
              </w:rPr>
              <w:t>Far North Waters</w:t>
            </w:r>
          </w:p>
        </w:tc>
        <w:tc>
          <w:tcPr>
            <w:tcW w:type="dxa" w:w="2160"/>
            <w:shd w:fill="f0f5fa" w:val="clear"/>
          </w:tcPr>
          <w:p>
            <w:r/>
            <w:r>
              <w:rPr>
                <w:rFonts w:ascii="Source Sans Pro" w:hAnsi="Source Sans Pro"/>
                <w:sz w:val="18"/>
              </w:rPr>
              <w:t>11</w:t>
            </w:r>
          </w:p>
        </w:tc>
      </w:tr>
      <w:tr>
        <w:tc>
          <w:tcPr>
            <w:tcW w:type="dxa" w:w="5760"/>
            <w:shd w:fill="ffffff" w:val="clear"/>
          </w:tcPr>
          <w:p>
            <w:r/>
            <w:r>
              <w:rPr>
                <w:rFonts w:ascii="Source Sans Pro" w:hAnsi="Source Sans Pro"/>
                <w:sz w:val="18"/>
              </w:rPr>
              <w:t>Lines</w:t>
            </w:r>
          </w:p>
        </w:tc>
        <w:tc>
          <w:tcPr>
            <w:tcW w:type="dxa" w:w="2160"/>
            <w:shd w:fill="ffffff" w:val="clear"/>
          </w:tcPr>
          <w:p>
            <w:r/>
            <w:r>
              <w:rPr>
                <w:rFonts w:ascii="Source Sans Pro" w:hAnsi="Source Sans Pro"/>
                <w:sz w:val="18"/>
              </w:rPr>
              <w:t>6</w:t>
            </w:r>
          </w:p>
        </w:tc>
      </w:tr>
      <w:tr>
        <w:tc>
          <w:tcPr>
            <w:tcW w:type="dxa" w:w="5760"/>
            <w:shd w:fill="f0f5fa" w:val="clear"/>
          </w:tcPr>
          <w:p>
            <w:r/>
            <w:r>
              <w:rPr>
                <w:rFonts w:ascii="Source Sans Pro" w:hAnsi="Source Sans Pro"/>
                <w:sz w:val="18"/>
              </w:rPr>
              <w:t>Project Services</w:t>
            </w:r>
          </w:p>
        </w:tc>
        <w:tc>
          <w:tcPr>
            <w:tcW w:type="dxa" w:w="2160"/>
            <w:shd w:fill="f0f5fa" w:val="clear"/>
          </w:tcPr>
          <w:p>
            <w:r/>
            <w:r>
              <w:rPr>
                <w:rFonts w:ascii="Source Sans Pro" w:hAnsi="Source Sans Pro"/>
                <w:sz w:val="18"/>
              </w:rPr>
              <w:t>4</w:t>
            </w:r>
          </w:p>
        </w:tc>
      </w:tr>
      <w:tr>
        <w:tc>
          <w:tcPr>
            <w:tcW w:type="dxa" w:w="5760"/>
            <w:shd w:fill="ffffff" w:val="clear"/>
          </w:tcPr>
          <w:p>
            <w:r/>
            <w:r>
              <w:rPr>
                <w:rFonts w:ascii="Source Sans Pro" w:hAnsi="Source Sans Pro"/>
                <w:sz w:val="18"/>
              </w:rPr>
              <w:t>Yallourn Station</w:t>
            </w:r>
          </w:p>
        </w:tc>
        <w:tc>
          <w:tcPr>
            <w:tcW w:type="dxa" w:w="2160"/>
            <w:shd w:fill="ffffff" w:val="clear"/>
          </w:tcPr>
          <w:p>
            <w:r/>
            <w:r>
              <w:rPr>
                <w:rFonts w:ascii="Source Sans Pro" w:hAnsi="Source Sans Pro"/>
                <w:sz w:val="18"/>
              </w:rPr>
              <w:t>4</w:t>
            </w:r>
          </w:p>
        </w:tc>
      </w:tr>
      <w:tr>
        <w:tc>
          <w:tcPr>
            <w:tcW w:type="dxa" w:w="5760"/>
            <w:shd w:fill="f0f5fa" w:val="clear"/>
          </w:tcPr>
          <w:p>
            <w:r/>
            <w:r>
              <w:rPr>
                <w:rFonts w:ascii="Source Sans Pro" w:hAnsi="Source Sans Pro"/>
                <w:sz w:val="18"/>
              </w:rPr>
              <w:t>Mechanical - North</w:t>
            </w:r>
          </w:p>
        </w:tc>
        <w:tc>
          <w:tcPr>
            <w:tcW w:type="dxa" w:w="2160"/>
            <w:shd w:fill="f0f5fa" w:val="clear"/>
          </w:tcPr>
          <w:p>
            <w:r/>
            <w:r>
              <w:rPr>
                <w:rFonts w:ascii="Source Sans Pro" w:hAnsi="Source Sans Pro"/>
                <w:sz w:val="18"/>
              </w:rPr>
              <w:t>4</w:t>
            </w:r>
          </w:p>
        </w:tc>
      </w:tr>
      <w:tr>
        <w:tc>
          <w:tcPr>
            <w:tcW w:type="dxa" w:w="5760"/>
            <w:shd w:fill="ffffff" w:val="clear"/>
          </w:tcPr>
          <w:p>
            <w:r/>
            <w:r>
              <w:rPr>
                <w:rFonts w:ascii="Source Sans Pro" w:hAnsi="Source Sans Pro"/>
                <w:sz w:val="18"/>
              </w:rPr>
              <w:t>Stations</w:t>
            </w:r>
          </w:p>
        </w:tc>
        <w:tc>
          <w:tcPr>
            <w:tcW w:type="dxa" w:w="2160"/>
            <w:shd w:fill="ffffff" w:val="clear"/>
          </w:tcPr>
          <w:p>
            <w:r/>
            <w:r>
              <w:rPr>
                <w:rFonts w:ascii="Source Sans Pro" w:hAnsi="Source Sans Pro"/>
                <w:sz w:val="18"/>
              </w:rPr>
              <w:t>3</w:t>
            </w:r>
          </w:p>
        </w:tc>
      </w:tr>
      <w:tr>
        <w:tc>
          <w:tcPr>
            <w:tcW w:type="dxa" w:w="5760"/>
            <w:shd w:fill="f0f5fa" w:val="clear"/>
          </w:tcPr>
          <w:p>
            <w:r/>
            <w:r>
              <w:rPr>
                <w:rFonts w:ascii="Source Sans Pro" w:hAnsi="Source Sans Pro"/>
                <w:sz w:val="18"/>
              </w:rPr>
              <w:t>Generation</w:t>
            </w:r>
          </w:p>
        </w:tc>
        <w:tc>
          <w:tcPr>
            <w:tcW w:type="dxa" w:w="2160"/>
            <w:shd w:fill="f0f5fa" w:val="clear"/>
          </w:tcPr>
          <w:p>
            <w:r/>
            <w:r>
              <w:rPr>
                <w:rFonts w:ascii="Source Sans Pro" w:hAnsi="Source Sans Pro"/>
                <w:sz w:val="18"/>
              </w:rPr>
              <w:t>3</w:t>
            </w:r>
          </w:p>
        </w:tc>
      </w:tr>
      <w:tr>
        <w:tc>
          <w:tcPr>
            <w:tcW w:type="dxa" w:w="5760"/>
            <w:shd w:fill="ffffff" w:val="clear"/>
          </w:tcPr>
          <w:p>
            <w:r/>
            <w:r>
              <w:rPr>
                <w:rFonts w:ascii="Source Sans Pro" w:hAnsi="Source Sans Pro"/>
                <w:sz w:val="18"/>
              </w:rPr>
              <w:t>Industrial and Distribution</w:t>
            </w:r>
          </w:p>
        </w:tc>
        <w:tc>
          <w:tcPr>
            <w:tcW w:type="dxa" w:w="2160"/>
            <w:shd w:fill="ffffff" w:val="clear"/>
          </w:tcPr>
          <w:p>
            <w:r/>
            <w:r>
              <w:rPr>
                <w:rFonts w:ascii="Source Sans Pro" w:hAnsi="Source Sans Pro"/>
                <w:sz w:val="18"/>
              </w:rPr>
              <w:t>2</w:t>
            </w:r>
          </w:p>
        </w:tc>
      </w:tr>
    </w:tbl>
    <w:p/>
    <w:p>
      <w:pPr>
        <w:pStyle w:val="Heading2"/>
      </w:pPr>
      <w:r>
        <w:t>3.7 Serious Event Timing</w:t>
      </w:r>
    </w:p>
    <w:p>
      <w:r>
        <w:rPr>
          <w:rFonts w:ascii="Source Sans Pro" w:hAnsi="Source Sans Pro"/>
          <w:b w:val="0"/>
          <w:i w:val="0"/>
          <w:color w:val="0B3254"/>
          <w:sz w:val="22"/>
        </w:rPr>
        <w:t>Time-of-day information was available for 100.0% of serious events.</w:t>
      </w:r>
    </w:p>
    <w:tbl>
      <w:tblPr>
        <w:tblStyle w:val="TableGrid"/>
        <w:tblW w:type="auto" w:w="0"/>
        <w:jc w:val="left"/>
        <w:tblLook w:firstColumn="1" w:firstRow="1" w:lastColumn="0" w:lastRow="0" w:noHBand="0" w:noVBand="1" w:val="04A0"/>
      </w:tblPr>
      <w:tblGrid>
        <w:gridCol w:w="5213"/>
        <w:gridCol w:w="5213"/>
      </w:tblGrid>
      <w:tr>
        <w:tc>
          <w:tcPr>
            <w:tcW w:type="dxa" w:w="5040"/>
            <w:shd w:fill="0b3254" w:val="clear"/>
          </w:tcPr>
          <w:p>
            <w:r/>
            <w:r>
              <w:rPr>
                <w:rFonts w:ascii="Source Sans Pro" w:hAnsi="Source Sans Pro"/>
                <w:b/>
                <w:color w:val="FFFFFF"/>
                <w:sz w:val="18"/>
              </w:rPr>
              <w:t>Time of Day</w:t>
            </w:r>
          </w:p>
        </w:tc>
        <w:tc>
          <w:tcPr>
            <w:tcW w:type="dxa" w:w="2160"/>
            <w:shd w:fill="0b3254" w:val="clear"/>
          </w:tcPr>
          <w:p>
            <w:r/>
            <w:r>
              <w:rPr>
                <w:rFonts w:ascii="Source Sans Pro" w:hAnsi="Source Sans Pro"/>
                <w:b/>
                <w:color w:val="FFFFFF"/>
                <w:sz w:val="18"/>
              </w:rPr>
              <w:t>Serious Events</w:t>
            </w:r>
          </w:p>
        </w:tc>
      </w:tr>
      <w:tr>
        <w:tc>
          <w:tcPr>
            <w:tcW w:type="dxa" w:w="5040"/>
            <w:shd w:fill="f0f5fa" w:val="clear"/>
          </w:tcPr>
          <w:p>
            <w:r/>
            <w:r>
              <w:rPr>
                <w:rFonts w:ascii="Source Sans Pro" w:hAnsi="Source Sans Pro"/>
                <w:sz w:val="18"/>
              </w:rPr>
              <w:t>Afternoon (12:00-17:59)</w:t>
            </w:r>
          </w:p>
        </w:tc>
        <w:tc>
          <w:tcPr>
            <w:tcW w:type="dxa" w:w="2160"/>
            <w:shd w:fill="f0f5fa" w:val="clear"/>
          </w:tcPr>
          <w:p>
            <w:r/>
            <w:r>
              <w:rPr>
                <w:rFonts w:ascii="Source Sans Pro" w:hAnsi="Source Sans Pro"/>
                <w:sz w:val="18"/>
              </w:rPr>
              <w:t>40</w:t>
            </w:r>
          </w:p>
        </w:tc>
      </w:tr>
      <w:tr>
        <w:tc>
          <w:tcPr>
            <w:tcW w:type="dxa" w:w="5040"/>
            <w:shd w:fill="ffffff" w:val="clear"/>
          </w:tcPr>
          <w:p>
            <w:r/>
            <w:r>
              <w:rPr>
                <w:rFonts w:ascii="Source Sans Pro" w:hAnsi="Source Sans Pro"/>
                <w:sz w:val="18"/>
              </w:rPr>
              <w:t>Morning (06:00-11:59)</w:t>
            </w:r>
          </w:p>
        </w:tc>
        <w:tc>
          <w:tcPr>
            <w:tcW w:type="dxa" w:w="2160"/>
            <w:shd w:fill="ffffff" w:val="clear"/>
          </w:tcPr>
          <w:p>
            <w:r/>
            <w:r>
              <w:rPr>
                <w:rFonts w:ascii="Source Sans Pro" w:hAnsi="Source Sans Pro"/>
                <w:sz w:val="18"/>
              </w:rPr>
              <w:t>30</w:t>
            </w:r>
          </w:p>
        </w:tc>
      </w:tr>
      <w:tr>
        <w:tc>
          <w:tcPr>
            <w:tcW w:type="dxa" w:w="5040"/>
            <w:shd w:fill="f0f5fa" w:val="clear"/>
          </w:tcPr>
          <w:p>
            <w:r/>
            <w:r>
              <w:rPr>
                <w:rFonts w:ascii="Source Sans Pro" w:hAnsi="Source Sans Pro"/>
                <w:sz w:val="18"/>
              </w:rPr>
              <w:t>Evening (18:00-23:59)</w:t>
            </w:r>
          </w:p>
        </w:tc>
        <w:tc>
          <w:tcPr>
            <w:tcW w:type="dxa" w:w="2160"/>
            <w:shd w:fill="f0f5fa" w:val="clear"/>
          </w:tcPr>
          <w:p>
            <w:r/>
            <w:r>
              <w:rPr>
                <w:rFonts w:ascii="Source Sans Pro" w:hAnsi="Source Sans Pro"/>
                <w:sz w:val="18"/>
              </w:rPr>
              <w:t>14</w:t>
            </w:r>
          </w:p>
        </w:tc>
      </w:tr>
      <w:tr>
        <w:tc>
          <w:tcPr>
            <w:tcW w:type="dxa" w:w="5040"/>
            <w:shd w:fill="ffffff" w:val="clear"/>
          </w:tcPr>
          <w:p>
            <w:r/>
            <w:r>
              <w:rPr>
                <w:rFonts w:ascii="Source Sans Pro" w:hAnsi="Source Sans Pro"/>
                <w:sz w:val="18"/>
              </w:rPr>
              <w:t>Night (00:00-05:59)</w:t>
            </w:r>
          </w:p>
        </w:tc>
        <w:tc>
          <w:tcPr>
            <w:tcW w:type="dxa" w:w="2160"/>
            <w:shd w:fill="ffffff" w:val="clear"/>
          </w:tcPr>
          <w:p>
            <w:r/>
            <w:r>
              <w:rPr>
                <w:rFonts w:ascii="Source Sans Pro" w:hAnsi="Source Sans Pro"/>
                <w:sz w:val="18"/>
              </w:rPr>
              <w:t>4</w:t>
            </w:r>
          </w:p>
        </w:tc>
      </w:tr>
    </w:tbl>
    <w:p/>
    <w:p>
      <w:pPr>
        <w:pStyle w:val="Heading2"/>
      </w:pPr>
      <w:r>
        <w:t>3.8 Motor Vehicle Events</w:t>
      </w:r>
    </w:p>
    <w:tbl>
      <w:tblPr>
        <w:tblStyle w:val="TableGrid"/>
        <w:tblW w:type="auto" w:w="0"/>
        <w:jc w:val="left"/>
        <w:tblLook w:firstColumn="1" w:firstRow="1" w:lastColumn="0" w:lastRow="0" w:noHBand="0" w:noVBand="1" w:val="04A0"/>
      </w:tblPr>
      <w:tblGrid>
        <w:gridCol w:w="5213"/>
        <w:gridCol w:w="5213"/>
      </w:tblGrid>
      <w:tr>
        <w:tc>
          <w:tcPr>
            <w:tcW w:type="dxa" w:w="5040"/>
            <w:shd w:fill="0b3254" w:val="clear"/>
          </w:tcPr>
          <w:p>
            <w:r/>
            <w:r>
              <w:rPr>
                <w:rFonts w:ascii="Source Sans Pro" w:hAnsi="Source Sans Pro"/>
                <w:b/>
                <w:color w:val="FFFFFF"/>
                <w:sz w:val="18"/>
              </w:rPr>
              <w:t>Metric</w:t>
            </w:r>
          </w:p>
        </w:tc>
        <w:tc>
          <w:tcPr>
            <w:tcW w:type="dxa" w:w="2880"/>
            <w:shd w:fill="0b3254" w:val="clear"/>
          </w:tcPr>
          <w:p>
            <w:r/>
            <w:r>
              <w:rPr>
                <w:rFonts w:ascii="Source Sans Pro" w:hAnsi="Source Sans Pro"/>
                <w:b/>
                <w:color w:val="FFFFFF"/>
                <w:sz w:val="18"/>
              </w:rPr>
              <w:t>Value</w:t>
            </w:r>
          </w:p>
        </w:tc>
      </w:tr>
      <w:tr>
        <w:tc>
          <w:tcPr>
            <w:tcW w:type="dxa" w:w="5040"/>
            <w:shd w:fill="f0f5fa" w:val="clear"/>
          </w:tcPr>
          <w:p>
            <w:r/>
            <w:r>
              <w:rPr>
                <w:rFonts w:ascii="Source Sans Pro" w:hAnsi="Source Sans Pro"/>
                <w:sz w:val="18"/>
              </w:rPr>
              <w:t>Total Motor Vehicle Events</w:t>
            </w:r>
          </w:p>
        </w:tc>
        <w:tc>
          <w:tcPr>
            <w:tcW w:type="dxa" w:w="2880"/>
            <w:shd w:fill="f0f5fa" w:val="clear"/>
          </w:tcPr>
          <w:p>
            <w:r/>
            <w:r>
              <w:rPr>
                <w:rFonts w:ascii="Source Sans Pro" w:hAnsi="Source Sans Pro"/>
                <w:sz w:val="18"/>
              </w:rPr>
              <w:t>279</w:t>
            </w:r>
          </w:p>
        </w:tc>
      </w:tr>
      <w:tr>
        <w:tc>
          <w:tcPr>
            <w:tcW w:type="dxa" w:w="5040"/>
            <w:shd w:fill="ffffff" w:val="clear"/>
          </w:tcPr>
          <w:p>
            <w:r/>
            <w:r>
              <w:rPr>
                <w:rFonts w:ascii="Source Sans Pro" w:hAnsi="Source Sans Pro"/>
                <w:sz w:val="18"/>
              </w:rPr>
              <w:t>Share of All Events</w:t>
            </w:r>
          </w:p>
        </w:tc>
        <w:tc>
          <w:tcPr>
            <w:tcW w:type="dxa" w:w="2880"/>
            <w:shd w:fill="ffffff" w:val="clear"/>
          </w:tcPr>
          <w:p>
            <w:r/>
            <w:r>
              <w:rPr>
                <w:rFonts w:ascii="Source Sans Pro" w:hAnsi="Source Sans Pro"/>
                <w:sz w:val="18"/>
              </w:rPr>
              <w:t>10.6%</w:t>
            </w:r>
          </w:p>
        </w:tc>
      </w:tr>
      <w:tr>
        <w:tc>
          <w:tcPr>
            <w:tcW w:type="dxa" w:w="5040"/>
            <w:shd w:fill="f0f5fa" w:val="clear"/>
          </w:tcPr>
          <w:p>
            <w:r/>
            <w:r>
              <w:rPr>
                <w:rFonts w:ascii="Source Sans Pro" w:hAnsi="Source Sans Pro"/>
                <w:sz w:val="18"/>
              </w:rPr>
              <w:t>Moderate+ MV Events</w:t>
            </w:r>
          </w:p>
        </w:tc>
        <w:tc>
          <w:tcPr>
            <w:tcW w:type="dxa" w:w="2880"/>
            <w:shd w:fill="f0f5fa" w:val="clear"/>
          </w:tcPr>
          <w:p>
            <w:r/>
            <w:r>
              <w:rPr>
                <w:rFonts w:ascii="Source Sans Pro" w:hAnsi="Source Sans Pro"/>
                <w:sz w:val="18"/>
              </w:rPr>
              <w:t>7</w:t>
            </w:r>
          </w:p>
        </w:tc>
      </w:tr>
      <w:tr>
        <w:tc>
          <w:tcPr>
            <w:tcW w:type="dxa" w:w="5040"/>
            <w:shd w:fill="ffffff" w:val="clear"/>
          </w:tcPr>
          <w:p>
            <w:r/>
            <w:r>
              <w:rPr>
                <w:rFonts w:ascii="Source Sans Pro" w:hAnsi="Source Sans Pro"/>
                <w:sz w:val="18"/>
              </w:rPr>
              <w:t>Serious Rate Within MV Events</w:t>
            </w:r>
          </w:p>
        </w:tc>
        <w:tc>
          <w:tcPr>
            <w:tcW w:type="dxa" w:w="2880"/>
            <w:shd w:fill="ffffff" w:val="clear"/>
          </w:tcPr>
          <w:p>
            <w:r/>
            <w:r>
              <w:rPr>
                <w:rFonts w:ascii="Source Sans Pro" w:hAnsi="Source Sans Pro"/>
                <w:sz w:val="18"/>
              </w:rPr>
              <w:t>2.5%</w:t>
            </w:r>
          </w:p>
        </w:tc>
      </w:tr>
    </w:tbl>
    <w:p/>
    <w:tbl>
      <w:tblPr>
        <w:tblStyle w:val="TableGrid"/>
        <w:tblW w:type="auto" w:w="0"/>
        <w:jc w:val="left"/>
        <w:tblLook w:firstColumn="1" w:firstRow="1" w:lastColumn="0" w:lastRow="0" w:noHBand="0" w:noVBand="1" w:val="04A0"/>
      </w:tblPr>
      <w:tblGrid>
        <w:gridCol w:w="5213"/>
        <w:gridCol w:w="5213"/>
      </w:tblGrid>
      <w:tr>
        <w:tc>
          <w:tcPr>
            <w:tcW w:type="dxa" w:w="5760"/>
            <w:shd w:fill="0b3254" w:val="clear"/>
          </w:tcPr>
          <w:p>
            <w:r/>
            <w:r>
              <w:rPr>
                <w:rFonts w:ascii="Source Sans Pro" w:hAnsi="Source Sans Pro"/>
                <w:b/>
                <w:color w:val="FFFFFF"/>
                <w:sz w:val="18"/>
              </w:rPr>
              <w:t>Project</w:t>
            </w:r>
          </w:p>
        </w:tc>
        <w:tc>
          <w:tcPr>
            <w:tcW w:type="dxa" w:w="2160"/>
            <w:shd w:fill="0b3254" w:val="clear"/>
          </w:tcPr>
          <w:p>
            <w:r/>
            <w:r>
              <w:rPr>
                <w:rFonts w:ascii="Source Sans Pro" w:hAnsi="Source Sans Pro"/>
                <w:b/>
                <w:color w:val="FFFFFF"/>
                <w:sz w:val="18"/>
              </w:rPr>
              <w:t>MV Events</w:t>
            </w:r>
          </w:p>
        </w:tc>
      </w:tr>
      <w:tr>
        <w:tc>
          <w:tcPr>
            <w:tcW w:type="dxa" w:w="5760"/>
            <w:shd w:fill="f0f5fa" w:val="clear"/>
          </w:tcPr>
          <w:p>
            <w:r/>
            <w:r>
              <w:rPr>
                <w:rFonts w:ascii="Source Sans Pro" w:hAnsi="Source Sans Pro"/>
                <w:sz w:val="18"/>
              </w:rPr>
              <w:t>Yarra Valley Water O&amp;M</w:t>
            </w:r>
          </w:p>
        </w:tc>
        <w:tc>
          <w:tcPr>
            <w:tcW w:type="dxa" w:w="2160"/>
            <w:shd w:fill="f0f5fa" w:val="clear"/>
          </w:tcPr>
          <w:p>
            <w:r/>
            <w:r>
              <w:rPr>
                <w:rFonts w:ascii="Source Sans Pro" w:hAnsi="Source Sans Pro"/>
                <w:sz w:val="18"/>
              </w:rPr>
              <w:t>37</w:t>
            </w:r>
          </w:p>
        </w:tc>
      </w:tr>
      <w:tr>
        <w:tc>
          <w:tcPr>
            <w:tcW w:type="dxa" w:w="5760"/>
            <w:shd w:fill="ffffff" w:val="clear"/>
          </w:tcPr>
          <w:p>
            <w:r/>
            <w:r>
              <w:rPr>
                <w:rFonts w:ascii="Source Sans Pro" w:hAnsi="Source Sans Pro"/>
                <w:sz w:val="18"/>
              </w:rPr>
              <w:t>ENR Aust - QLD</w:t>
            </w:r>
          </w:p>
        </w:tc>
        <w:tc>
          <w:tcPr>
            <w:tcW w:type="dxa" w:w="2160"/>
            <w:shd w:fill="ffffff" w:val="clear"/>
          </w:tcPr>
          <w:p>
            <w:r/>
            <w:r>
              <w:rPr>
                <w:rFonts w:ascii="Source Sans Pro" w:hAnsi="Source Sans Pro"/>
                <w:sz w:val="18"/>
              </w:rPr>
              <w:t>30</w:t>
            </w:r>
          </w:p>
        </w:tc>
      </w:tr>
      <w:tr>
        <w:tc>
          <w:tcPr>
            <w:tcW w:type="dxa" w:w="5760"/>
            <w:shd w:fill="f0f5fa" w:val="clear"/>
          </w:tcPr>
          <w:p>
            <w:r/>
            <w:r>
              <w:rPr>
                <w:rFonts w:ascii="Source Sans Pro" w:hAnsi="Source Sans Pro"/>
                <w:sz w:val="18"/>
              </w:rPr>
              <w:t>ENR NZ South</w:t>
            </w:r>
          </w:p>
        </w:tc>
        <w:tc>
          <w:tcPr>
            <w:tcW w:type="dxa" w:w="2160"/>
            <w:shd w:fill="f0f5fa" w:val="clear"/>
          </w:tcPr>
          <w:p>
            <w:r/>
            <w:r>
              <w:rPr>
                <w:rFonts w:ascii="Source Sans Pro" w:hAnsi="Source Sans Pro"/>
                <w:sz w:val="18"/>
              </w:rPr>
              <w:t>30</w:t>
            </w:r>
          </w:p>
        </w:tc>
      </w:tr>
      <w:tr>
        <w:tc>
          <w:tcPr>
            <w:tcW w:type="dxa" w:w="5760"/>
            <w:shd w:fill="ffffff" w:val="clear"/>
          </w:tcPr>
          <w:p>
            <w:r/>
            <w:r>
              <w:rPr>
                <w:rFonts w:ascii="Source Sans Pro" w:hAnsi="Source Sans Pro"/>
                <w:sz w:val="18"/>
              </w:rPr>
              <w:t>Utilita</w:t>
            </w:r>
          </w:p>
        </w:tc>
        <w:tc>
          <w:tcPr>
            <w:tcW w:type="dxa" w:w="2160"/>
            <w:shd w:fill="ffffff" w:val="clear"/>
          </w:tcPr>
          <w:p>
            <w:r/>
            <w:r>
              <w:rPr>
                <w:rFonts w:ascii="Source Sans Pro" w:hAnsi="Source Sans Pro"/>
                <w:sz w:val="18"/>
              </w:rPr>
              <w:t>22</w:t>
            </w:r>
          </w:p>
        </w:tc>
      </w:tr>
      <w:tr>
        <w:tc>
          <w:tcPr>
            <w:tcW w:type="dxa" w:w="5760"/>
            <w:shd w:fill="f0f5fa" w:val="clear"/>
          </w:tcPr>
          <w:p>
            <w:r/>
            <w:r>
              <w:rPr>
                <w:rFonts w:ascii="Source Sans Pro" w:hAnsi="Source Sans Pro"/>
                <w:sz w:val="18"/>
              </w:rPr>
              <w:t>ENR NZ North</w:t>
            </w:r>
          </w:p>
        </w:tc>
        <w:tc>
          <w:tcPr>
            <w:tcW w:type="dxa" w:w="2160"/>
            <w:shd w:fill="f0f5fa" w:val="clear"/>
          </w:tcPr>
          <w:p>
            <w:r/>
            <w:r>
              <w:rPr>
                <w:rFonts w:ascii="Source Sans Pro" w:hAnsi="Source Sans Pro"/>
                <w:sz w:val="18"/>
              </w:rPr>
              <w:t>22</w:t>
            </w:r>
          </w:p>
        </w:tc>
      </w:tr>
      <w:tr>
        <w:tc>
          <w:tcPr>
            <w:tcW w:type="dxa" w:w="5760"/>
            <w:shd w:fill="ffffff" w:val="clear"/>
          </w:tcPr>
          <w:p>
            <w:r/>
            <w:r>
              <w:rPr>
                <w:rFonts w:ascii="Source Sans Pro" w:hAnsi="Source Sans Pro"/>
                <w:sz w:val="18"/>
              </w:rPr>
              <w:t>Water Environmental Monitoring</w:t>
            </w:r>
          </w:p>
        </w:tc>
        <w:tc>
          <w:tcPr>
            <w:tcW w:type="dxa" w:w="2160"/>
            <w:shd w:fill="ffffff" w:val="clear"/>
          </w:tcPr>
          <w:p>
            <w:r/>
            <w:r>
              <w:rPr>
                <w:rFonts w:ascii="Source Sans Pro" w:hAnsi="Source Sans Pro"/>
                <w:sz w:val="18"/>
              </w:rPr>
              <w:t>13</w:t>
            </w:r>
          </w:p>
        </w:tc>
      </w:tr>
      <w:tr>
        <w:tc>
          <w:tcPr>
            <w:tcW w:type="dxa" w:w="5760"/>
            <w:shd w:fill="f0f5fa" w:val="clear"/>
          </w:tcPr>
          <w:p>
            <w:r/>
            <w:r>
              <w:rPr>
                <w:rFonts w:ascii="Source Sans Pro" w:hAnsi="Source Sans Pro"/>
                <w:sz w:val="18"/>
              </w:rPr>
              <w:t>Far North Waters</w:t>
            </w:r>
          </w:p>
        </w:tc>
        <w:tc>
          <w:tcPr>
            <w:tcW w:type="dxa" w:w="2160"/>
            <w:shd w:fill="f0f5fa" w:val="clear"/>
          </w:tcPr>
          <w:p>
            <w:r/>
            <w:r>
              <w:rPr>
                <w:rFonts w:ascii="Source Sans Pro" w:hAnsi="Source Sans Pro"/>
                <w:sz w:val="18"/>
              </w:rPr>
              <w:t>12</w:t>
            </w:r>
          </w:p>
        </w:tc>
      </w:tr>
      <w:tr>
        <w:tc>
          <w:tcPr>
            <w:tcW w:type="dxa" w:w="5760"/>
            <w:shd w:fill="ffffff" w:val="clear"/>
          </w:tcPr>
          <w:p>
            <w:r/>
            <w:r>
              <w:rPr>
                <w:rFonts w:ascii="Source Sans Pro" w:hAnsi="Source Sans Pro"/>
                <w:sz w:val="18"/>
              </w:rPr>
              <w:t>SEQWater Collaborative Asset Services</w:t>
            </w:r>
          </w:p>
        </w:tc>
        <w:tc>
          <w:tcPr>
            <w:tcW w:type="dxa" w:w="2160"/>
            <w:shd w:fill="ffffff" w:val="clear"/>
          </w:tcPr>
          <w:p>
            <w:r/>
            <w:r>
              <w:rPr>
                <w:rFonts w:ascii="Source Sans Pro" w:hAnsi="Source Sans Pro"/>
                <w:sz w:val="18"/>
              </w:rPr>
              <w:t>12</w:t>
            </w:r>
          </w:p>
        </w:tc>
      </w:tr>
    </w:tbl>
    <w:p/>
    <w:tbl>
      <w:tblPr>
        <w:tblStyle w:val="TableGrid"/>
        <w:tblW w:type="auto" w:w="0"/>
        <w:jc w:val="left"/>
        <w:tblLook w:firstColumn="1" w:firstRow="1" w:lastColumn="0" w:lastRow="0" w:noHBand="0" w:noVBand="1" w:val="04A0"/>
      </w:tblPr>
      <w:tblGrid>
        <w:gridCol w:w="3475"/>
        <w:gridCol w:w="3475"/>
        <w:gridCol w:w="3475"/>
      </w:tblGrid>
      <w:tr>
        <w:tc>
          <w:tcPr>
            <w:tcW w:type="dxa" w:w="2160"/>
            <w:shd w:fill="0b3254" w:val="clear"/>
          </w:tcPr>
          <w:p>
            <w:r/>
            <w:r>
              <w:rPr>
                <w:rFonts w:ascii="Source Sans Pro" w:hAnsi="Source Sans Pro"/>
                <w:b/>
                <w:color w:val="FFFFFF"/>
                <w:sz w:val="18"/>
              </w:rPr>
              <w:t>Category</w:t>
            </w:r>
          </w:p>
        </w:tc>
        <w:tc>
          <w:tcPr>
            <w:tcW w:type="dxa" w:w="4320"/>
            <w:shd w:fill="0b3254" w:val="clear"/>
          </w:tcPr>
          <w:p>
            <w:r/>
            <w:r>
              <w:rPr>
                <w:rFonts w:ascii="Source Sans Pro" w:hAnsi="Source Sans Pro"/>
                <w:b/>
                <w:color w:val="FFFFFF"/>
                <w:sz w:val="18"/>
              </w:rPr>
              <w:t>Pattern</w:t>
            </w:r>
          </w:p>
        </w:tc>
        <w:tc>
          <w:tcPr>
            <w:tcW w:type="dxa" w:w="1440"/>
            <w:shd w:fill="0b3254" w:val="clear"/>
          </w:tcPr>
          <w:p>
            <w:r/>
            <w:r>
              <w:rPr>
                <w:rFonts w:ascii="Source Sans Pro" w:hAnsi="Source Sans Pro"/>
                <w:b/>
                <w:color w:val="FFFFFF"/>
                <w:sz w:val="18"/>
              </w:rPr>
              <w:t>Count</w:t>
            </w:r>
          </w:p>
        </w:tc>
      </w:tr>
      <w:tr>
        <w:tc>
          <w:tcPr>
            <w:tcW w:type="dxa" w:w="2160"/>
            <w:shd w:fill="f0f5fa" w:val="clear"/>
          </w:tcPr>
          <w:p>
            <w:r/>
            <w:r>
              <w:rPr>
                <w:rFonts w:ascii="Source Sans Pro" w:hAnsi="Source Sans Pro"/>
                <w:sz w:val="18"/>
              </w:rPr>
              <w:t>Road Type</w:t>
            </w:r>
          </w:p>
        </w:tc>
        <w:tc>
          <w:tcPr>
            <w:tcW w:type="dxa" w:w="4320"/>
            <w:shd w:fill="f0f5fa" w:val="clear"/>
          </w:tcPr>
          <w:p>
            <w:r/>
            <w:r>
              <w:rPr>
                <w:rFonts w:ascii="Source Sans Pro" w:hAnsi="Source Sans Pro"/>
                <w:sz w:val="18"/>
              </w:rPr>
              <w:t>Main Road</w:t>
            </w:r>
          </w:p>
        </w:tc>
        <w:tc>
          <w:tcPr>
            <w:tcW w:type="dxa" w:w="1440"/>
            <w:shd w:fill="f0f5fa" w:val="clear"/>
          </w:tcPr>
          <w:p>
            <w:r/>
            <w:r>
              <w:rPr>
                <w:rFonts w:ascii="Source Sans Pro" w:hAnsi="Source Sans Pro"/>
                <w:sz w:val="18"/>
              </w:rPr>
              <w:t>82</w:t>
            </w:r>
          </w:p>
        </w:tc>
      </w:tr>
      <w:tr>
        <w:tc>
          <w:tcPr>
            <w:tcW w:type="dxa" w:w="2160"/>
            <w:shd w:fill="ffffff" w:val="clear"/>
          </w:tcPr>
          <w:p>
            <w:r/>
            <w:r>
              <w:rPr>
                <w:rFonts w:ascii="Source Sans Pro" w:hAnsi="Source Sans Pro"/>
                <w:sz w:val="18"/>
              </w:rPr>
              <w:t>Road Type</w:t>
            </w:r>
          </w:p>
        </w:tc>
        <w:tc>
          <w:tcPr>
            <w:tcW w:type="dxa" w:w="4320"/>
            <w:shd w:fill="ffffff" w:val="clear"/>
          </w:tcPr>
          <w:p>
            <w:r/>
            <w:r>
              <w:rPr>
                <w:rFonts w:ascii="Source Sans Pro" w:hAnsi="Source Sans Pro"/>
                <w:sz w:val="18"/>
              </w:rPr>
              <w:t>Drive/Carpark</w:t>
            </w:r>
          </w:p>
        </w:tc>
        <w:tc>
          <w:tcPr>
            <w:tcW w:type="dxa" w:w="1440"/>
            <w:shd w:fill="ffffff" w:val="clear"/>
          </w:tcPr>
          <w:p>
            <w:r/>
            <w:r>
              <w:rPr>
                <w:rFonts w:ascii="Source Sans Pro" w:hAnsi="Source Sans Pro"/>
                <w:sz w:val="18"/>
              </w:rPr>
              <w:t>76</w:t>
            </w:r>
          </w:p>
        </w:tc>
      </w:tr>
      <w:tr>
        <w:tc>
          <w:tcPr>
            <w:tcW w:type="dxa" w:w="2160"/>
            <w:shd w:fill="f0f5fa" w:val="clear"/>
          </w:tcPr>
          <w:p>
            <w:r/>
            <w:r>
              <w:rPr>
                <w:rFonts w:ascii="Source Sans Pro" w:hAnsi="Source Sans Pro"/>
                <w:sz w:val="18"/>
              </w:rPr>
              <w:t>Road Type</w:t>
            </w:r>
          </w:p>
        </w:tc>
        <w:tc>
          <w:tcPr>
            <w:tcW w:type="dxa" w:w="4320"/>
            <w:shd w:fill="f0f5fa" w:val="clear"/>
          </w:tcPr>
          <w:p>
            <w:r/>
            <w:r>
              <w:rPr>
                <w:rFonts w:ascii="Source Sans Pro" w:hAnsi="Source Sans Pro"/>
                <w:sz w:val="18"/>
              </w:rPr>
              <w:t>Off Road</w:t>
            </w:r>
          </w:p>
        </w:tc>
        <w:tc>
          <w:tcPr>
            <w:tcW w:type="dxa" w:w="1440"/>
            <w:shd w:fill="f0f5fa" w:val="clear"/>
          </w:tcPr>
          <w:p>
            <w:r/>
            <w:r>
              <w:rPr>
                <w:rFonts w:ascii="Source Sans Pro" w:hAnsi="Source Sans Pro"/>
                <w:sz w:val="18"/>
              </w:rPr>
              <w:t>53</w:t>
            </w:r>
          </w:p>
        </w:tc>
      </w:tr>
      <w:tr>
        <w:tc>
          <w:tcPr>
            <w:tcW w:type="dxa" w:w="2160"/>
            <w:shd w:fill="ffffff" w:val="clear"/>
          </w:tcPr>
          <w:p>
            <w:r/>
            <w:r>
              <w:rPr>
                <w:rFonts w:ascii="Source Sans Pro" w:hAnsi="Source Sans Pro"/>
                <w:sz w:val="18"/>
              </w:rPr>
              <w:t>Road Type</w:t>
            </w:r>
          </w:p>
        </w:tc>
        <w:tc>
          <w:tcPr>
            <w:tcW w:type="dxa" w:w="4320"/>
            <w:shd w:fill="ffffff" w:val="clear"/>
          </w:tcPr>
          <w:p>
            <w:r/>
            <w:r>
              <w:rPr>
                <w:rFonts w:ascii="Source Sans Pro" w:hAnsi="Source Sans Pro"/>
                <w:sz w:val="18"/>
              </w:rPr>
              <w:t>Quiet Street</w:t>
            </w:r>
          </w:p>
        </w:tc>
        <w:tc>
          <w:tcPr>
            <w:tcW w:type="dxa" w:w="1440"/>
            <w:shd w:fill="ffffff" w:val="clear"/>
          </w:tcPr>
          <w:p>
            <w:r/>
            <w:r>
              <w:rPr>
                <w:rFonts w:ascii="Source Sans Pro" w:hAnsi="Source Sans Pro"/>
                <w:sz w:val="18"/>
              </w:rPr>
              <w:t>45</w:t>
            </w:r>
          </w:p>
        </w:tc>
      </w:tr>
      <w:tr>
        <w:tc>
          <w:tcPr>
            <w:tcW w:type="dxa" w:w="2160"/>
            <w:shd w:fill="f0f5fa" w:val="clear"/>
          </w:tcPr>
          <w:p>
            <w:r/>
            <w:r>
              <w:rPr>
                <w:rFonts w:ascii="Source Sans Pro" w:hAnsi="Source Sans Pro"/>
                <w:sz w:val="18"/>
              </w:rPr>
              <w:t>Road Condition</w:t>
            </w:r>
          </w:p>
        </w:tc>
        <w:tc>
          <w:tcPr>
            <w:tcW w:type="dxa" w:w="4320"/>
            <w:shd w:fill="f0f5fa" w:val="clear"/>
          </w:tcPr>
          <w:p>
            <w:r/>
            <w:r>
              <w:rPr>
                <w:rFonts w:ascii="Source Sans Pro" w:hAnsi="Source Sans Pro"/>
                <w:sz w:val="18"/>
              </w:rPr>
              <w:t>Sealed</w:t>
            </w:r>
          </w:p>
        </w:tc>
        <w:tc>
          <w:tcPr>
            <w:tcW w:type="dxa" w:w="1440"/>
            <w:shd w:fill="f0f5fa" w:val="clear"/>
          </w:tcPr>
          <w:p>
            <w:r/>
            <w:r>
              <w:rPr>
                <w:rFonts w:ascii="Source Sans Pro" w:hAnsi="Source Sans Pro"/>
                <w:sz w:val="18"/>
              </w:rPr>
              <w:t>208</w:t>
            </w:r>
          </w:p>
        </w:tc>
      </w:tr>
      <w:tr>
        <w:tc>
          <w:tcPr>
            <w:tcW w:type="dxa" w:w="2160"/>
            <w:shd w:fill="ffffff" w:val="clear"/>
          </w:tcPr>
          <w:p>
            <w:r/>
            <w:r>
              <w:rPr>
                <w:rFonts w:ascii="Source Sans Pro" w:hAnsi="Source Sans Pro"/>
                <w:sz w:val="18"/>
              </w:rPr>
              <w:t>Road Condition</w:t>
            </w:r>
          </w:p>
        </w:tc>
        <w:tc>
          <w:tcPr>
            <w:tcW w:type="dxa" w:w="4320"/>
            <w:shd w:fill="ffffff" w:val="clear"/>
          </w:tcPr>
          <w:p>
            <w:r/>
            <w:r>
              <w:rPr>
                <w:rFonts w:ascii="Source Sans Pro" w:hAnsi="Source Sans Pro"/>
                <w:sz w:val="18"/>
              </w:rPr>
              <w:t>Unsealed</w:t>
            </w:r>
          </w:p>
        </w:tc>
        <w:tc>
          <w:tcPr>
            <w:tcW w:type="dxa" w:w="1440"/>
            <w:shd w:fill="ffffff" w:val="clear"/>
          </w:tcPr>
          <w:p>
            <w:r/>
            <w:r>
              <w:rPr>
                <w:rFonts w:ascii="Source Sans Pro" w:hAnsi="Source Sans Pro"/>
                <w:sz w:val="18"/>
              </w:rPr>
              <w:t>70</w:t>
            </w:r>
          </w:p>
        </w:tc>
      </w:tr>
      <w:tr>
        <w:tc>
          <w:tcPr>
            <w:tcW w:type="dxa" w:w="2160"/>
            <w:shd w:fill="f0f5fa" w:val="clear"/>
          </w:tcPr>
          <w:p>
            <w:r/>
            <w:r>
              <w:rPr>
                <w:rFonts w:ascii="Source Sans Pro" w:hAnsi="Source Sans Pro"/>
                <w:sz w:val="18"/>
              </w:rPr>
              <w:t>Vehicle Type</w:t>
            </w:r>
          </w:p>
        </w:tc>
        <w:tc>
          <w:tcPr>
            <w:tcW w:type="dxa" w:w="4320"/>
            <w:shd w:fill="f0f5fa" w:val="clear"/>
          </w:tcPr>
          <w:p>
            <w:r/>
            <w:r>
              <w:rPr>
                <w:rFonts w:ascii="Source Sans Pro" w:hAnsi="Source Sans Pro"/>
                <w:sz w:val="18"/>
              </w:rPr>
              <w:t>Light Vehicle</w:t>
            </w:r>
          </w:p>
        </w:tc>
        <w:tc>
          <w:tcPr>
            <w:tcW w:type="dxa" w:w="1440"/>
            <w:shd w:fill="f0f5fa" w:val="clear"/>
          </w:tcPr>
          <w:p>
            <w:r/>
            <w:r>
              <w:rPr>
                <w:rFonts w:ascii="Source Sans Pro" w:hAnsi="Source Sans Pro"/>
                <w:sz w:val="18"/>
              </w:rPr>
              <w:t>203</w:t>
            </w:r>
          </w:p>
        </w:tc>
      </w:tr>
      <w:tr>
        <w:tc>
          <w:tcPr>
            <w:tcW w:type="dxa" w:w="2160"/>
            <w:shd w:fill="ffffff" w:val="clear"/>
          </w:tcPr>
          <w:p>
            <w:r/>
            <w:r>
              <w:rPr>
                <w:rFonts w:ascii="Source Sans Pro" w:hAnsi="Source Sans Pro"/>
                <w:sz w:val="18"/>
              </w:rPr>
              <w:t>Vehicle Type</w:t>
            </w:r>
          </w:p>
        </w:tc>
        <w:tc>
          <w:tcPr>
            <w:tcW w:type="dxa" w:w="4320"/>
            <w:shd w:fill="ffffff" w:val="clear"/>
          </w:tcPr>
          <w:p>
            <w:r/>
            <w:r>
              <w:rPr>
                <w:rFonts w:ascii="Source Sans Pro" w:hAnsi="Source Sans Pro"/>
                <w:sz w:val="18"/>
              </w:rPr>
              <w:t>Heavy Vehicle</w:t>
            </w:r>
          </w:p>
        </w:tc>
        <w:tc>
          <w:tcPr>
            <w:tcW w:type="dxa" w:w="1440"/>
            <w:shd w:fill="ffffff" w:val="clear"/>
          </w:tcPr>
          <w:p>
            <w:r/>
            <w:r>
              <w:rPr>
                <w:rFonts w:ascii="Source Sans Pro" w:hAnsi="Source Sans Pro"/>
                <w:sz w:val="18"/>
              </w:rPr>
              <w:t>75</w:t>
            </w:r>
          </w:p>
        </w:tc>
      </w:tr>
    </w:tbl>
    <w:p/>
    <w:p>
      <w:r>
        <w:br w:type="page"/>
      </w:r>
    </w:p>
    <w:p>
      <w:pPr>
        <w:pStyle w:val="Heading1"/>
      </w:pPr>
      <w:r>
        <w:t>4. Safety Energy — Leading Activity Overview</w:t>
      </w:r>
    </w:p>
    <w:tbl>
      <w:tblPr>
        <w:tblStyle w:val="TableGrid"/>
        <w:tblW w:type="auto" w:w="0"/>
        <w:jc w:val="left"/>
        <w:tblLook w:firstColumn="1" w:firstRow="1" w:lastColumn="0" w:lastRow="0" w:noHBand="0" w:noVBand="1" w:val="04A0"/>
      </w:tblPr>
      <w:tblGrid>
        <w:gridCol w:w="10426"/>
      </w:tblGrid>
      <w:tr>
        <w:tc>
          <w:tcPr>
            <w:tcW w:type="dxa" w:w="10426"/>
            <w:shd w:fill="eef6fb" w:val="clear"/>
          </w:tcPr>
          <w:p>
            <w:r/>
            <w:r>
              <w:rPr>
                <w:rFonts w:ascii="Source Sans Pro" w:hAnsi="Source Sans Pro"/>
                <w:b/>
                <w:i w:val="0"/>
                <w:color w:val="13B5EA"/>
                <w:sz w:val="22"/>
              </w:rPr>
              <w:t>Leading Activity Readout</w:t>
            </w:r>
          </w:p>
          <w:p>
            <w:r>
              <w:rPr>
                <w:rFonts w:ascii="Source Sans Pro" w:hAnsi="Source Sans Pro"/>
                <w:b w:val="0"/>
                <w:i w:val="0"/>
                <w:color w:val="0B3254"/>
                <w:sz w:val="20"/>
              </w:rPr>
              <w:t>Safety Energy combines LLC, CCC, and OCC activity. The deeper two-year review is designed to show not just volume, but whether the records look rich, preventive, and useful for leadership learning.</w:t>
            </w:r>
          </w:p>
        </w:tc>
      </w:tr>
    </w:tbl>
    <w:p/>
    <w:p>
      <w:pPr>
        <w:pStyle w:val="Heading2"/>
      </w:pPr>
      <w:r>
        <w:t>4.1 Activity Type Mix</w:t>
      </w:r>
    </w:p>
    <w:p>
      <w:r>
        <w:drawing>
          <wp:inline xmlns:a="http://schemas.openxmlformats.org/drawingml/2006/main" xmlns:pic="http://schemas.openxmlformats.org/drawingml/2006/picture">
            <wp:extent cx="4114800" cy="4370030"/>
            <wp:docPr id="3" name="Picture 3"/>
            <wp:cNvGraphicFramePr>
              <a:graphicFrameLocks noChangeAspect="1"/>
            </wp:cNvGraphicFramePr>
            <a:graphic>
              <a:graphicData uri="http://schemas.openxmlformats.org/drawingml/2006/picture">
                <pic:pic>
                  <pic:nvPicPr>
                    <pic:cNvPr id="0" name="ch_activity_mix.png"/>
                    <pic:cNvPicPr/>
                  </pic:nvPicPr>
                  <pic:blipFill>
                    <a:blip r:embed="rId11"/>
                    <a:stretch>
                      <a:fillRect/>
                    </a:stretch>
                  </pic:blipFill>
                  <pic:spPr>
                    <a:xfrm>
                      <a:off x="0" y="0"/>
                      <a:ext cx="4114800" cy="4370030"/>
                    </a:xfrm>
                    <a:prstGeom prst="rect"/>
                  </pic:spPr>
                </pic:pic>
              </a:graphicData>
            </a:graphic>
          </wp:inline>
        </w:drawing>
      </w:r>
    </w:p>
    <w:p/>
    <w:tbl>
      <w:tblPr>
        <w:tblStyle w:val="TableGrid"/>
        <w:tblW w:type="auto" w:w="0"/>
        <w:jc w:val="left"/>
        <w:tblLook w:firstColumn="1" w:firstRow="1" w:lastColumn="0" w:lastRow="0" w:noHBand="0" w:noVBand="1" w:val="04A0"/>
      </w:tblPr>
      <w:tblGrid>
        <w:gridCol w:w="3475"/>
        <w:gridCol w:w="3475"/>
        <w:gridCol w:w="3475"/>
      </w:tblGrid>
      <w:tr>
        <w:tc>
          <w:tcPr>
            <w:tcW w:type="dxa" w:w="3600"/>
            <w:shd w:fill="0b3254" w:val="clear"/>
          </w:tcPr>
          <w:p>
            <w:r/>
            <w:r>
              <w:rPr>
                <w:rFonts w:ascii="Source Sans Pro" w:hAnsi="Source Sans Pro"/>
                <w:b/>
                <w:color w:val="FFFFFF"/>
                <w:sz w:val="18"/>
              </w:rPr>
              <w:t>Activity Type</w:t>
            </w:r>
          </w:p>
        </w:tc>
        <w:tc>
          <w:tcPr>
            <w:tcW w:type="dxa" w:w="2160"/>
            <w:shd w:fill="0b3254" w:val="clear"/>
          </w:tcPr>
          <w:p>
            <w:r/>
            <w:r>
              <w:rPr>
                <w:rFonts w:ascii="Source Sans Pro" w:hAnsi="Source Sans Pro"/>
                <w:b/>
                <w:color w:val="FFFFFF"/>
                <w:sz w:val="18"/>
              </w:rPr>
              <w:t>Total Count</w:t>
            </w:r>
          </w:p>
        </w:tc>
        <w:tc>
          <w:tcPr>
            <w:tcW w:type="dxa" w:w="4320"/>
            <w:shd w:fill="0b3254" w:val="clear"/>
          </w:tcPr>
          <w:p>
            <w:r/>
            <w:r>
              <w:rPr>
                <w:rFonts w:ascii="Source Sans Pro" w:hAnsi="Source Sans Pro"/>
                <w:b/>
                <w:color w:val="FFFFFF"/>
                <w:sz w:val="18"/>
              </w:rPr>
              <w:t>Avg At-Risk Aspects per Activity</w:t>
            </w:r>
          </w:p>
        </w:tc>
      </w:tr>
      <w:tr>
        <w:tc>
          <w:tcPr>
            <w:tcW w:type="dxa" w:w="3600"/>
            <w:shd w:fill="f0f5fa" w:val="clear"/>
          </w:tcPr>
          <w:p>
            <w:r/>
            <w:r>
              <w:rPr>
                <w:rFonts w:ascii="Source Sans Pro" w:hAnsi="Source Sans Pro"/>
                <w:sz w:val="18"/>
              </w:rPr>
              <w:t>LLC</w:t>
            </w:r>
          </w:p>
        </w:tc>
        <w:tc>
          <w:tcPr>
            <w:tcW w:type="dxa" w:w="2160"/>
            <w:shd w:fill="f0f5fa" w:val="clear"/>
          </w:tcPr>
          <w:p>
            <w:r/>
            <w:r>
              <w:rPr>
                <w:rFonts w:ascii="Source Sans Pro" w:hAnsi="Source Sans Pro"/>
                <w:sz w:val="18"/>
              </w:rPr>
              <w:t>5954</w:t>
            </w:r>
          </w:p>
        </w:tc>
        <w:tc>
          <w:tcPr>
            <w:tcW w:type="dxa" w:w="4320"/>
            <w:shd w:fill="f0f5fa" w:val="clear"/>
          </w:tcPr>
          <w:p>
            <w:r/>
            <w:r>
              <w:rPr>
                <w:rFonts w:ascii="Source Sans Pro" w:hAnsi="Source Sans Pro"/>
                <w:sz w:val="18"/>
              </w:rPr>
              <w:t>0.41</w:t>
            </w:r>
          </w:p>
        </w:tc>
      </w:tr>
      <w:tr>
        <w:tc>
          <w:tcPr>
            <w:tcW w:type="dxa" w:w="3600"/>
            <w:shd w:fill="ffffff" w:val="clear"/>
          </w:tcPr>
          <w:p>
            <w:r/>
            <w:r>
              <w:rPr>
                <w:rFonts w:ascii="Source Sans Pro" w:hAnsi="Source Sans Pro"/>
                <w:sz w:val="18"/>
              </w:rPr>
              <w:t>CCC</w:t>
            </w:r>
          </w:p>
        </w:tc>
        <w:tc>
          <w:tcPr>
            <w:tcW w:type="dxa" w:w="2160"/>
            <w:shd w:fill="ffffff" w:val="clear"/>
          </w:tcPr>
          <w:p>
            <w:r/>
            <w:r>
              <w:rPr>
                <w:rFonts w:ascii="Source Sans Pro" w:hAnsi="Source Sans Pro"/>
                <w:sz w:val="18"/>
              </w:rPr>
              <w:t>7730</w:t>
            </w:r>
          </w:p>
        </w:tc>
        <w:tc>
          <w:tcPr>
            <w:tcW w:type="dxa" w:w="4320"/>
            <w:shd w:fill="ffffff" w:val="clear"/>
          </w:tcPr>
          <w:p>
            <w:r/>
            <w:r>
              <w:rPr>
                <w:rFonts w:ascii="Source Sans Pro" w:hAnsi="Source Sans Pro"/>
                <w:sz w:val="18"/>
              </w:rPr>
              <w:t>0.16</w:t>
            </w:r>
          </w:p>
        </w:tc>
      </w:tr>
      <w:tr>
        <w:tc>
          <w:tcPr>
            <w:tcW w:type="dxa" w:w="3600"/>
            <w:shd w:fill="f0f5fa" w:val="clear"/>
          </w:tcPr>
          <w:p>
            <w:r/>
            <w:r>
              <w:rPr>
                <w:rFonts w:ascii="Source Sans Pro" w:hAnsi="Source Sans Pro"/>
                <w:sz w:val="18"/>
              </w:rPr>
              <w:t>OCC</w:t>
            </w:r>
          </w:p>
        </w:tc>
        <w:tc>
          <w:tcPr>
            <w:tcW w:type="dxa" w:w="2160"/>
            <w:shd w:fill="f0f5fa" w:val="clear"/>
          </w:tcPr>
          <w:p>
            <w:r/>
            <w:r>
              <w:rPr>
                <w:rFonts w:ascii="Source Sans Pro" w:hAnsi="Source Sans Pro"/>
                <w:sz w:val="18"/>
              </w:rPr>
              <w:t>5789</w:t>
            </w:r>
          </w:p>
        </w:tc>
        <w:tc>
          <w:tcPr>
            <w:tcW w:type="dxa" w:w="4320"/>
            <w:shd w:fill="f0f5fa" w:val="clear"/>
          </w:tcPr>
          <w:p>
            <w:r/>
            <w:r>
              <w:rPr>
                <w:rFonts w:ascii="Source Sans Pro" w:hAnsi="Source Sans Pro"/>
                <w:sz w:val="18"/>
              </w:rPr>
              <w:t>0.24</w:t>
            </w:r>
          </w:p>
        </w:tc>
      </w:tr>
    </w:tbl>
    <w:p/>
    <w:p>
      <w:pPr>
        <w:pStyle w:val="Heading2"/>
      </w:pPr>
      <w:r>
        <w:t>4.2 Monthly Activity Trend</w:t>
      </w:r>
    </w:p>
    <w:p>
      <w:r>
        <w:rPr>
          <w:rFonts w:ascii="Source Sans Pro" w:hAnsi="Source Sans Pro"/>
          <w:b w:val="0"/>
          <w:i w:val="0"/>
          <w:color w:val="64748B"/>
          <w:sz w:val="22"/>
        </w:rPr>
        <w:t>Overall trend: stable (+8%)</w:t>
      </w:r>
    </w:p>
    <w:p>
      <w:r>
        <w:drawing>
          <wp:inline xmlns:a="http://schemas.openxmlformats.org/drawingml/2006/main" xmlns:pic="http://schemas.openxmlformats.org/drawingml/2006/picture">
            <wp:extent cx="5486400" cy="1964025"/>
            <wp:docPr id="4" name="Picture 4"/>
            <wp:cNvGraphicFramePr>
              <a:graphicFrameLocks noChangeAspect="1"/>
            </wp:cNvGraphicFramePr>
            <a:graphic>
              <a:graphicData uri="http://schemas.openxmlformats.org/drawingml/2006/picture">
                <pic:pic>
                  <pic:nvPicPr>
                    <pic:cNvPr id="0" name="ch_leading_monthly.png"/>
                    <pic:cNvPicPr/>
                  </pic:nvPicPr>
                  <pic:blipFill>
                    <a:blip r:embed="rId12"/>
                    <a:stretch>
                      <a:fillRect/>
                    </a:stretch>
                  </pic:blipFill>
                  <pic:spPr>
                    <a:xfrm>
                      <a:off x="0" y="0"/>
                      <a:ext cx="5486400" cy="1964025"/>
                    </a:xfrm>
                    <a:prstGeom prst="rect"/>
                  </pic:spPr>
                </pic:pic>
              </a:graphicData>
            </a:graphic>
          </wp:inline>
        </w:drawing>
      </w:r>
    </w:p>
    <w:p/>
    <w:p>
      <w:pPr>
        <w:pStyle w:val="Heading2"/>
      </w:pPr>
      <w:r>
        <w:t>4.3 Activity by Business Unit</w:t>
      </w:r>
    </w:p>
    <w:tbl>
      <w:tblPr>
        <w:tblStyle w:val="TableGrid"/>
        <w:tblW w:type="auto" w:w="0"/>
        <w:jc w:val="left"/>
        <w:tblLook w:firstColumn="1" w:firstRow="1" w:lastColumn="0" w:lastRow="0" w:noHBand="0" w:noVBand="1" w:val="04A0"/>
      </w:tblPr>
      <w:tblGrid>
        <w:gridCol w:w="2606"/>
        <w:gridCol w:w="2606"/>
        <w:gridCol w:w="2606"/>
        <w:gridCol w:w="2606"/>
      </w:tblGrid>
      <w:tr>
        <w:tc>
          <w:tcPr>
            <w:tcW w:type="dxa" w:w="4032"/>
            <w:shd w:fill="0b3254" w:val="clear"/>
          </w:tcPr>
          <w:p>
            <w:r/>
            <w:r>
              <w:rPr>
                <w:rFonts w:ascii="Source Sans Pro" w:hAnsi="Source Sans Pro"/>
                <w:b/>
                <w:color w:val="FFFFFF"/>
                <w:sz w:val="18"/>
              </w:rPr>
              <w:t>Business Unit</w:t>
            </w:r>
          </w:p>
        </w:tc>
        <w:tc>
          <w:tcPr>
            <w:tcW w:type="dxa" w:w="1440"/>
            <w:shd w:fill="0b3254" w:val="clear"/>
          </w:tcPr>
          <w:p>
            <w:r/>
            <w:r>
              <w:rPr>
                <w:rFonts w:ascii="Source Sans Pro" w:hAnsi="Source Sans Pro"/>
                <w:b/>
                <w:color w:val="FFFFFF"/>
                <w:sz w:val="18"/>
              </w:rPr>
              <w:t>LLC</w:t>
            </w:r>
          </w:p>
        </w:tc>
        <w:tc>
          <w:tcPr>
            <w:tcW w:type="dxa" w:w="1440"/>
            <w:shd w:fill="0b3254" w:val="clear"/>
          </w:tcPr>
          <w:p>
            <w:r/>
            <w:r>
              <w:rPr>
                <w:rFonts w:ascii="Source Sans Pro" w:hAnsi="Source Sans Pro"/>
                <w:b/>
                <w:color w:val="FFFFFF"/>
                <w:sz w:val="18"/>
              </w:rPr>
              <w:t>CCC</w:t>
            </w:r>
          </w:p>
        </w:tc>
        <w:tc>
          <w:tcPr>
            <w:tcW w:type="dxa" w:w="1440"/>
            <w:shd w:fill="0b3254" w:val="clear"/>
          </w:tcPr>
          <w:p>
            <w:r/>
            <w:r>
              <w:rPr>
                <w:rFonts w:ascii="Source Sans Pro" w:hAnsi="Source Sans Pro"/>
                <w:b/>
                <w:color w:val="FFFFFF"/>
                <w:sz w:val="18"/>
              </w:rPr>
              <w:t>OCC</w:t>
            </w:r>
          </w:p>
        </w:tc>
      </w:tr>
      <w:tr>
        <w:tc>
          <w:tcPr>
            <w:tcW w:type="dxa" w:w="4032"/>
            <w:shd w:fill="f0f5fa" w:val="clear"/>
          </w:tcPr>
          <w:p>
            <w:r/>
            <w:r>
              <w:rPr>
                <w:rFonts w:ascii="Source Sans Pro" w:hAnsi="Source Sans Pro"/>
                <w:sz w:val="18"/>
              </w:rPr>
              <w:t>Energy &amp; Renewables</w:t>
            </w:r>
          </w:p>
        </w:tc>
        <w:tc>
          <w:tcPr>
            <w:tcW w:type="dxa" w:w="1440"/>
            <w:shd w:fill="f0f5fa" w:val="clear"/>
          </w:tcPr>
          <w:p>
            <w:r/>
            <w:r>
              <w:rPr>
                <w:rFonts w:ascii="Source Sans Pro" w:hAnsi="Source Sans Pro"/>
                <w:sz w:val="18"/>
              </w:rPr>
              <w:t>1055</w:t>
            </w:r>
          </w:p>
        </w:tc>
        <w:tc>
          <w:tcPr>
            <w:tcW w:type="dxa" w:w="1440"/>
            <w:shd w:fill="f0f5fa" w:val="clear"/>
          </w:tcPr>
          <w:p>
            <w:r/>
            <w:r>
              <w:rPr>
                <w:rFonts w:ascii="Source Sans Pro" w:hAnsi="Source Sans Pro"/>
                <w:sz w:val="18"/>
              </w:rPr>
              <w:t>2288</w:t>
            </w:r>
          </w:p>
        </w:tc>
        <w:tc>
          <w:tcPr>
            <w:tcW w:type="dxa" w:w="1440"/>
            <w:shd w:fill="f0f5fa" w:val="clear"/>
          </w:tcPr>
          <w:p>
            <w:r/>
            <w:r>
              <w:rPr>
                <w:rFonts w:ascii="Source Sans Pro" w:hAnsi="Source Sans Pro"/>
                <w:sz w:val="18"/>
              </w:rPr>
              <w:t>1872</w:t>
            </w:r>
          </w:p>
        </w:tc>
      </w:tr>
      <w:tr>
        <w:tc>
          <w:tcPr>
            <w:tcW w:type="dxa" w:w="4032"/>
            <w:shd w:fill="ffffff" w:val="clear"/>
          </w:tcPr>
          <w:p>
            <w:r/>
            <w:r>
              <w:rPr>
                <w:rFonts w:ascii="Source Sans Pro" w:hAnsi="Source Sans Pro"/>
                <w:sz w:val="18"/>
              </w:rPr>
              <w:t>Professional Services</w:t>
            </w:r>
          </w:p>
        </w:tc>
        <w:tc>
          <w:tcPr>
            <w:tcW w:type="dxa" w:w="1440"/>
            <w:shd w:fill="ffffff" w:val="clear"/>
          </w:tcPr>
          <w:p>
            <w:r/>
            <w:r>
              <w:rPr>
                <w:rFonts w:ascii="Source Sans Pro" w:hAnsi="Source Sans Pro"/>
                <w:sz w:val="18"/>
              </w:rPr>
              <w:t>158</w:t>
            </w:r>
          </w:p>
        </w:tc>
        <w:tc>
          <w:tcPr>
            <w:tcW w:type="dxa" w:w="1440"/>
            <w:shd w:fill="ffffff" w:val="clear"/>
          </w:tcPr>
          <w:p>
            <w:r/>
            <w:r>
              <w:rPr>
                <w:rFonts w:ascii="Source Sans Pro" w:hAnsi="Source Sans Pro"/>
                <w:sz w:val="18"/>
              </w:rPr>
              <w:t>4</w:t>
            </w:r>
          </w:p>
        </w:tc>
        <w:tc>
          <w:tcPr>
            <w:tcW w:type="dxa" w:w="1440"/>
            <w:shd w:fill="ffffff" w:val="clear"/>
          </w:tcPr>
          <w:p>
            <w:r/>
            <w:r>
              <w:rPr>
                <w:rFonts w:ascii="Source Sans Pro" w:hAnsi="Source Sans Pro"/>
                <w:sz w:val="18"/>
              </w:rPr>
              <w:t>24</w:t>
            </w:r>
          </w:p>
        </w:tc>
      </w:tr>
      <w:tr>
        <w:tc>
          <w:tcPr>
            <w:tcW w:type="dxa" w:w="4032"/>
            <w:shd w:fill="f0f5fa" w:val="clear"/>
          </w:tcPr>
          <w:p>
            <w:r/>
            <w:r>
              <w:rPr>
                <w:rFonts w:ascii="Source Sans Pro" w:hAnsi="Source Sans Pro"/>
                <w:sz w:val="18"/>
              </w:rPr>
              <w:t>Resources</w:t>
            </w:r>
          </w:p>
        </w:tc>
        <w:tc>
          <w:tcPr>
            <w:tcW w:type="dxa" w:w="1440"/>
            <w:shd w:fill="f0f5fa" w:val="clear"/>
          </w:tcPr>
          <w:p>
            <w:r/>
            <w:r>
              <w:rPr>
                <w:rFonts w:ascii="Source Sans Pro" w:hAnsi="Source Sans Pro"/>
                <w:sz w:val="18"/>
              </w:rPr>
              <w:t>3627</w:t>
            </w:r>
          </w:p>
        </w:tc>
        <w:tc>
          <w:tcPr>
            <w:tcW w:type="dxa" w:w="1440"/>
            <w:shd w:fill="f0f5fa" w:val="clear"/>
          </w:tcPr>
          <w:p>
            <w:r/>
            <w:r>
              <w:rPr>
                <w:rFonts w:ascii="Source Sans Pro" w:hAnsi="Source Sans Pro"/>
                <w:sz w:val="18"/>
              </w:rPr>
              <w:t>2869</w:t>
            </w:r>
          </w:p>
        </w:tc>
        <w:tc>
          <w:tcPr>
            <w:tcW w:type="dxa" w:w="1440"/>
            <w:shd w:fill="f0f5fa" w:val="clear"/>
          </w:tcPr>
          <w:p>
            <w:r/>
            <w:r>
              <w:rPr>
                <w:rFonts w:ascii="Source Sans Pro" w:hAnsi="Source Sans Pro"/>
                <w:sz w:val="18"/>
              </w:rPr>
              <w:t>2375</w:t>
            </w:r>
          </w:p>
        </w:tc>
      </w:tr>
      <w:tr>
        <w:tc>
          <w:tcPr>
            <w:tcW w:type="dxa" w:w="4032"/>
            <w:shd w:fill="ffffff" w:val="clear"/>
          </w:tcPr>
          <w:p>
            <w:r/>
            <w:r>
              <w:rPr>
                <w:rFonts w:ascii="Source Sans Pro" w:hAnsi="Source Sans Pro"/>
                <w:sz w:val="18"/>
              </w:rPr>
              <w:t>Sector Overhead</w:t>
            </w:r>
          </w:p>
        </w:tc>
        <w:tc>
          <w:tcPr>
            <w:tcW w:type="dxa" w:w="1440"/>
            <w:shd w:fill="ffffff" w:val="clear"/>
          </w:tcPr>
          <w:p>
            <w:r/>
            <w:r>
              <w:rPr>
                <w:rFonts w:ascii="Source Sans Pro" w:hAnsi="Source Sans Pro"/>
                <w:sz w:val="18"/>
              </w:rPr>
              <w:t>36</w:t>
            </w:r>
          </w:p>
        </w:tc>
        <w:tc>
          <w:tcPr>
            <w:tcW w:type="dxa" w:w="1440"/>
            <w:shd w:fill="ffffff" w:val="clear"/>
          </w:tcPr>
          <w:p>
            <w:r/>
            <w:r>
              <w:rPr>
                <w:rFonts w:ascii="Source Sans Pro" w:hAnsi="Source Sans Pro"/>
                <w:sz w:val="18"/>
              </w:rPr>
              <w:t>2</w:t>
            </w:r>
          </w:p>
        </w:tc>
        <w:tc>
          <w:tcPr>
            <w:tcW w:type="dxa" w:w="1440"/>
            <w:shd w:fill="ffffff" w:val="clear"/>
          </w:tcPr>
          <w:p>
            <w:r/>
            <w:r>
              <w:rPr>
                <w:rFonts w:ascii="Source Sans Pro" w:hAnsi="Source Sans Pro"/>
                <w:sz w:val="18"/>
              </w:rPr>
              <w:t>4</w:t>
            </w:r>
          </w:p>
        </w:tc>
      </w:tr>
      <w:tr>
        <w:tc>
          <w:tcPr>
            <w:tcW w:type="dxa" w:w="4032"/>
            <w:shd w:fill="f0f5fa" w:val="clear"/>
          </w:tcPr>
          <w:p>
            <w:r/>
            <w:r>
              <w:rPr>
                <w:rFonts w:ascii="Source Sans Pro" w:hAnsi="Source Sans Pro"/>
                <w:sz w:val="18"/>
              </w:rPr>
              <w:t>Water &amp; Environmental Services</w:t>
            </w:r>
          </w:p>
        </w:tc>
        <w:tc>
          <w:tcPr>
            <w:tcW w:type="dxa" w:w="1440"/>
            <w:shd w:fill="f0f5fa" w:val="clear"/>
          </w:tcPr>
          <w:p>
            <w:r/>
            <w:r>
              <w:rPr>
                <w:rFonts w:ascii="Source Sans Pro" w:hAnsi="Source Sans Pro"/>
                <w:sz w:val="18"/>
              </w:rPr>
              <w:t>1078</w:t>
            </w:r>
          </w:p>
        </w:tc>
        <w:tc>
          <w:tcPr>
            <w:tcW w:type="dxa" w:w="1440"/>
            <w:shd w:fill="f0f5fa" w:val="clear"/>
          </w:tcPr>
          <w:p>
            <w:r/>
            <w:r>
              <w:rPr>
                <w:rFonts w:ascii="Source Sans Pro" w:hAnsi="Source Sans Pro"/>
                <w:sz w:val="18"/>
              </w:rPr>
              <w:t>2567</w:t>
            </w:r>
          </w:p>
        </w:tc>
        <w:tc>
          <w:tcPr>
            <w:tcW w:type="dxa" w:w="1440"/>
            <w:shd w:fill="f0f5fa" w:val="clear"/>
          </w:tcPr>
          <w:p>
            <w:r/>
            <w:r>
              <w:rPr>
                <w:rFonts w:ascii="Source Sans Pro" w:hAnsi="Source Sans Pro"/>
                <w:sz w:val="18"/>
              </w:rPr>
              <w:t>1514</w:t>
            </w:r>
          </w:p>
        </w:tc>
      </w:tr>
    </w:tbl>
    <w:p/>
    <w:p>
      <w:pPr>
        <w:pStyle w:val="Heading2"/>
      </w:pPr>
      <w:r>
        <w:t>4.4 LLC Conversation Topics</w:t>
      </w:r>
    </w:p>
    <w:p>
      <w:r>
        <w:rPr>
          <w:rFonts w:ascii="Source Sans Pro" w:hAnsi="Source Sans Pro"/>
          <w:b w:val="0"/>
          <w:i w:val="0"/>
          <w:color w:val="0B3254"/>
          <w:sz w:val="22"/>
        </w:rPr>
        <w:t>The following topics were most frequently recorded in Leader Learning Conversations. Topic coverage indicates where leaders are directing their field conversations.</w:t>
      </w:r>
    </w:p>
    <w:p>
      <w:r>
        <w:drawing>
          <wp:inline xmlns:a="http://schemas.openxmlformats.org/drawingml/2006/main" xmlns:pic="http://schemas.openxmlformats.org/drawingml/2006/picture">
            <wp:extent cx="5029200" cy="2475696"/>
            <wp:docPr id="5" name="Picture 5"/>
            <wp:cNvGraphicFramePr>
              <a:graphicFrameLocks noChangeAspect="1"/>
            </wp:cNvGraphicFramePr>
            <a:graphic>
              <a:graphicData uri="http://schemas.openxmlformats.org/drawingml/2006/picture">
                <pic:pic>
                  <pic:nvPicPr>
                    <pic:cNvPr id="0" name="ch_llc_topics.png"/>
                    <pic:cNvPicPr/>
                  </pic:nvPicPr>
                  <pic:blipFill>
                    <a:blip r:embed="rId13"/>
                    <a:stretch>
                      <a:fillRect/>
                    </a:stretch>
                  </pic:blipFill>
                  <pic:spPr>
                    <a:xfrm>
                      <a:off x="0" y="0"/>
                      <a:ext cx="5029200" cy="2475696"/>
                    </a:xfrm>
                    <a:prstGeom prst="rect"/>
                  </pic:spPr>
                </pic:pic>
              </a:graphicData>
            </a:graphic>
          </wp:inline>
        </w:drawing>
      </w:r>
    </w:p>
    <w:p/>
    <w:tbl>
      <w:tblPr>
        <w:tblStyle w:val="TableGrid"/>
        <w:tblW w:type="auto" w:w="0"/>
        <w:jc w:val="left"/>
        <w:tblLook w:firstColumn="1" w:firstRow="1" w:lastColumn="0" w:lastRow="0" w:noHBand="0" w:noVBand="1" w:val="04A0"/>
      </w:tblPr>
      <w:tblGrid>
        <w:gridCol w:w="5213"/>
        <w:gridCol w:w="5213"/>
      </w:tblGrid>
      <w:tr>
        <w:tc>
          <w:tcPr>
            <w:tcW w:type="dxa" w:w="5760"/>
            <w:shd w:fill="0b3254" w:val="clear"/>
          </w:tcPr>
          <w:p>
            <w:r/>
            <w:r>
              <w:rPr>
                <w:rFonts w:ascii="Source Sans Pro" w:hAnsi="Source Sans Pro"/>
                <w:b/>
                <w:color w:val="FFFFFF"/>
                <w:sz w:val="18"/>
              </w:rPr>
              <w:t>Topic</w:t>
            </w:r>
          </w:p>
        </w:tc>
        <w:tc>
          <w:tcPr>
            <w:tcW w:type="dxa" w:w="2160"/>
            <w:shd w:fill="0b3254" w:val="clear"/>
          </w:tcPr>
          <w:p>
            <w:r/>
            <w:r>
              <w:rPr>
                <w:rFonts w:ascii="Source Sans Pro" w:hAnsi="Source Sans Pro"/>
                <w:b/>
                <w:color w:val="FFFFFF"/>
                <w:sz w:val="18"/>
              </w:rPr>
              <w:t>Count</w:t>
            </w:r>
          </w:p>
        </w:tc>
      </w:tr>
      <w:tr>
        <w:tc>
          <w:tcPr>
            <w:tcW w:type="dxa" w:w="5760"/>
            <w:shd w:fill="f0f5fa" w:val="clear"/>
          </w:tcPr>
          <w:p>
            <w:r/>
            <w:r>
              <w:rPr>
                <w:rFonts w:ascii="Source Sans Pro" w:hAnsi="Source Sans Pro"/>
                <w:sz w:val="18"/>
              </w:rPr>
              <w:t>Manual Handling</w:t>
            </w:r>
          </w:p>
        </w:tc>
        <w:tc>
          <w:tcPr>
            <w:tcW w:type="dxa" w:w="2160"/>
            <w:shd w:fill="f0f5fa" w:val="clear"/>
          </w:tcPr>
          <w:p>
            <w:r/>
            <w:r>
              <w:rPr>
                <w:rFonts w:ascii="Source Sans Pro" w:hAnsi="Source Sans Pro"/>
                <w:sz w:val="18"/>
              </w:rPr>
              <w:t>27</w:t>
            </w:r>
          </w:p>
        </w:tc>
      </w:tr>
      <w:tr>
        <w:tc>
          <w:tcPr>
            <w:tcW w:type="dxa" w:w="5760"/>
            <w:shd w:fill="ffffff" w:val="clear"/>
          </w:tcPr>
          <w:p>
            <w:r/>
            <w:r>
              <w:rPr>
                <w:rFonts w:ascii="Source Sans Pro" w:hAnsi="Source Sans Pro"/>
                <w:sz w:val="18"/>
              </w:rPr>
              <w:t>Hand Safety</w:t>
            </w:r>
          </w:p>
        </w:tc>
        <w:tc>
          <w:tcPr>
            <w:tcW w:type="dxa" w:w="2160"/>
            <w:shd w:fill="ffffff" w:val="clear"/>
          </w:tcPr>
          <w:p>
            <w:r/>
            <w:r>
              <w:rPr>
                <w:rFonts w:ascii="Source Sans Pro" w:hAnsi="Source Sans Pro"/>
                <w:sz w:val="18"/>
              </w:rPr>
              <w:t>14</w:t>
            </w:r>
          </w:p>
        </w:tc>
      </w:tr>
      <w:tr>
        <w:tc>
          <w:tcPr>
            <w:tcW w:type="dxa" w:w="5760"/>
            <w:shd w:fill="f0f5fa" w:val="clear"/>
          </w:tcPr>
          <w:p>
            <w:r/>
            <w:r>
              <w:rPr>
                <w:rFonts w:ascii="Source Sans Pro" w:hAnsi="Source Sans Pro"/>
                <w:sz w:val="18"/>
              </w:rPr>
              <w:t>PPE</w:t>
            </w:r>
          </w:p>
        </w:tc>
        <w:tc>
          <w:tcPr>
            <w:tcW w:type="dxa" w:w="2160"/>
            <w:shd w:fill="f0f5fa" w:val="clear"/>
          </w:tcPr>
          <w:p>
            <w:r/>
            <w:r>
              <w:rPr>
                <w:rFonts w:ascii="Source Sans Pro" w:hAnsi="Source Sans Pro"/>
                <w:sz w:val="18"/>
              </w:rPr>
              <w:t>10</w:t>
            </w:r>
          </w:p>
        </w:tc>
      </w:tr>
      <w:tr>
        <w:tc>
          <w:tcPr>
            <w:tcW w:type="dxa" w:w="5760"/>
            <w:shd w:fill="ffffff" w:val="clear"/>
          </w:tcPr>
          <w:p>
            <w:r/>
            <w:r>
              <w:rPr>
                <w:rFonts w:ascii="Source Sans Pro" w:hAnsi="Source Sans Pro"/>
                <w:sz w:val="18"/>
              </w:rPr>
              <w:t>Communication</w:t>
            </w:r>
          </w:p>
        </w:tc>
        <w:tc>
          <w:tcPr>
            <w:tcW w:type="dxa" w:w="2160"/>
            <w:shd w:fill="ffffff" w:val="clear"/>
          </w:tcPr>
          <w:p>
            <w:r/>
            <w:r>
              <w:rPr>
                <w:rFonts w:ascii="Source Sans Pro" w:hAnsi="Source Sans Pro"/>
                <w:sz w:val="18"/>
              </w:rPr>
              <w:t>10</w:t>
            </w:r>
          </w:p>
        </w:tc>
      </w:tr>
      <w:tr>
        <w:tc>
          <w:tcPr>
            <w:tcW w:type="dxa" w:w="5760"/>
            <w:shd w:fill="f0f5fa" w:val="clear"/>
          </w:tcPr>
          <w:p>
            <w:r/>
            <w:r>
              <w:rPr>
                <w:rFonts w:ascii="Source Sans Pro" w:hAnsi="Source Sans Pro"/>
                <w:sz w:val="18"/>
              </w:rPr>
              <w:t>Hydration</w:t>
            </w:r>
          </w:p>
        </w:tc>
        <w:tc>
          <w:tcPr>
            <w:tcW w:type="dxa" w:w="2160"/>
            <w:shd w:fill="f0f5fa" w:val="clear"/>
          </w:tcPr>
          <w:p>
            <w:r/>
            <w:r>
              <w:rPr>
                <w:rFonts w:ascii="Source Sans Pro" w:hAnsi="Source Sans Pro"/>
                <w:sz w:val="18"/>
              </w:rPr>
              <w:t>9</w:t>
            </w:r>
          </w:p>
        </w:tc>
      </w:tr>
      <w:tr>
        <w:tc>
          <w:tcPr>
            <w:tcW w:type="dxa" w:w="5760"/>
            <w:shd w:fill="ffffff" w:val="clear"/>
          </w:tcPr>
          <w:p>
            <w:r/>
            <w:r>
              <w:rPr>
                <w:rFonts w:ascii="Source Sans Pro" w:hAnsi="Source Sans Pro"/>
                <w:sz w:val="18"/>
              </w:rPr>
              <w:t>Traffic Management</w:t>
            </w:r>
          </w:p>
        </w:tc>
        <w:tc>
          <w:tcPr>
            <w:tcW w:type="dxa" w:w="2160"/>
            <w:shd w:fill="ffffff" w:val="clear"/>
          </w:tcPr>
          <w:p>
            <w:r/>
            <w:r>
              <w:rPr>
                <w:rFonts w:ascii="Source Sans Pro" w:hAnsi="Source Sans Pro"/>
                <w:sz w:val="18"/>
              </w:rPr>
              <w:t>9</w:t>
            </w:r>
          </w:p>
        </w:tc>
      </w:tr>
      <w:tr>
        <w:tc>
          <w:tcPr>
            <w:tcW w:type="dxa" w:w="5760"/>
            <w:shd w:fill="f0f5fa" w:val="clear"/>
          </w:tcPr>
          <w:p>
            <w:r/>
            <w:r>
              <w:rPr>
                <w:rFonts w:ascii="Source Sans Pro" w:hAnsi="Source Sans Pro"/>
                <w:sz w:val="18"/>
              </w:rPr>
              <w:t>House Keeping</w:t>
            </w:r>
          </w:p>
        </w:tc>
        <w:tc>
          <w:tcPr>
            <w:tcW w:type="dxa" w:w="2160"/>
            <w:shd w:fill="f0f5fa" w:val="clear"/>
          </w:tcPr>
          <w:p>
            <w:r/>
            <w:r>
              <w:rPr>
                <w:rFonts w:ascii="Source Sans Pro" w:hAnsi="Source Sans Pro"/>
                <w:sz w:val="18"/>
              </w:rPr>
              <w:t>9</w:t>
            </w:r>
          </w:p>
        </w:tc>
      </w:tr>
      <w:tr>
        <w:tc>
          <w:tcPr>
            <w:tcW w:type="dxa" w:w="5760"/>
            <w:shd w:fill="ffffff" w:val="clear"/>
          </w:tcPr>
          <w:p>
            <w:r/>
            <w:r>
              <w:rPr>
                <w:rFonts w:ascii="Source Sans Pro" w:hAnsi="Source Sans Pro"/>
                <w:sz w:val="18"/>
              </w:rPr>
              <w:t>Effective supervision</w:t>
            </w:r>
          </w:p>
        </w:tc>
        <w:tc>
          <w:tcPr>
            <w:tcW w:type="dxa" w:w="2160"/>
            <w:shd w:fill="ffffff" w:val="clear"/>
          </w:tcPr>
          <w:p>
            <w:r/>
            <w:r>
              <w:rPr>
                <w:rFonts w:ascii="Source Sans Pro" w:hAnsi="Source Sans Pro"/>
                <w:sz w:val="18"/>
              </w:rPr>
              <w:t>8</w:t>
            </w:r>
          </w:p>
        </w:tc>
      </w:tr>
      <w:tr>
        <w:tc>
          <w:tcPr>
            <w:tcW w:type="dxa" w:w="5760"/>
            <w:shd w:fill="f0f5fa" w:val="clear"/>
          </w:tcPr>
          <w:p>
            <w:r/>
            <w:r>
              <w:rPr>
                <w:rFonts w:ascii="Source Sans Pro" w:hAnsi="Source Sans Pro"/>
                <w:sz w:val="18"/>
              </w:rPr>
              <w:t>Working at Heights</w:t>
            </w:r>
          </w:p>
        </w:tc>
        <w:tc>
          <w:tcPr>
            <w:tcW w:type="dxa" w:w="2160"/>
            <w:shd w:fill="f0f5fa" w:val="clear"/>
          </w:tcPr>
          <w:p>
            <w:r/>
            <w:r>
              <w:rPr>
                <w:rFonts w:ascii="Source Sans Pro" w:hAnsi="Source Sans Pro"/>
                <w:sz w:val="18"/>
              </w:rPr>
              <w:t>8</w:t>
            </w:r>
          </w:p>
        </w:tc>
      </w:tr>
      <w:tr>
        <w:tc>
          <w:tcPr>
            <w:tcW w:type="dxa" w:w="5760"/>
            <w:shd w:fill="ffffff" w:val="clear"/>
          </w:tcPr>
          <w:p>
            <w:r/>
            <w:r>
              <w:rPr>
                <w:rFonts w:ascii="Source Sans Pro" w:hAnsi="Source Sans Pro"/>
                <w:sz w:val="18"/>
              </w:rPr>
              <w:t>Line of fire</w:t>
            </w:r>
          </w:p>
        </w:tc>
        <w:tc>
          <w:tcPr>
            <w:tcW w:type="dxa" w:w="2160"/>
            <w:shd w:fill="ffffff" w:val="clear"/>
          </w:tcPr>
          <w:p>
            <w:r/>
            <w:r>
              <w:rPr>
                <w:rFonts w:ascii="Source Sans Pro" w:hAnsi="Source Sans Pro"/>
                <w:sz w:val="18"/>
              </w:rPr>
              <w:t>7</w:t>
            </w:r>
          </w:p>
        </w:tc>
      </w:tr>
      <w:tr>
        <w:tc>
          <w:tcPr>
            <w:tcW w:type="dxa" w:w="5760"/>
            <w:shd w:fill="f0f5fa" w:val="clear"/>
          </w:tcPr>
          <w:p>
            <w:r/>
            <w:r>
              <w:rPr>
                <w:rFonts w:ascii="Source Sans Pro" w:hAnsi="Source Sans Pro"/>
                <w:sz w:val="18"/>
              </w:rPr>
              <w:t>Lifting Operations</w:t>
            </w:r>
          </w:p>
        </w:tc>
        <w:tc>
          <w:tcPr>
            <w:tcW w:type="dxa" w:w="2160"/>
            <w:shd w:fill="f0f5fa" w:val="clear"/>
          </w:tcPr>
          <w:p>
            <w:r/>
            <w:r>
              <w:rPr>
                <w:rFonts w:ascii="Source Sans Pro" w:hAnsi="Source Sans Pro"/>
                <w:sz w:val="18"/>
              </w:rPr>
              <w:t>6</w:t>
            </w:r>
          </w:p>
        </w:tc>
      </w:tr>
      <w:tr>
        <w:tc>
          <w:tcPr>
            <w:tcW w:type="dxa" w:w="5760"/>
            <w:shd w:fill="ffffff" w:val="clear"/>
          </w:tcPr>
          <w:p>
            <w:r/>
            <w:r>
              <w:rPr>
                <w:rFonts w:ascii="Source Sans Pro" w:hAnsi="Source Sans Pro"/>
                <w:sz w:val="18"/>
              </w:rPr>
              <w:t>see attached</w:t>
            </w:r>
          </w:p>
        </w:tc>
        <w:tc>
          <w:tcPr>
            <w:tcW w:type="dxa" w:w="2160"/>
            <w:shd w:fill="ffffff" w:val="clear"/>
          </w:tcPr>
          <w:p>
            <w:r/>
            <w:r>
              <w:rPr>
                <w:rFonts w:ascii="Source Sans Pro" w:hAnsi="Source Sans Pro"/>
                <w:sz w:val="18"/>
              </w:rPr>
              <w:t>6</w:t>
            </w:r>
          </w:p>
        </w:tc>
      </w:tr>
    </w:tbl>
    <w:p/>
    <w:p>
      <w:pPr>
        <w:pStyle w:val="Heading2"/>
      </w:pPr>
      <w:r>
        <w:t>4.5 CRP Focus Areas in LLCs</w:t>
      </w:r>
    </w:p>
    <w:p>
      <w:r>
        <w:drawing>
          <wp:inline xmlns:a="http://schemas.openxmlformats.org/drawingml/2006/main" xmlns:pic="http://schemas.openxmlformats.org/drawingml/2006/picture">
            <wp:extent cx="5029200" cy="2475696"/>
            <wp:docPr id="6" name="Picture 6"/>
            <wp:cNvGraphicFramePr>
              <a:graphicFrameLocks noChangeAspect="1"/>
            </wp:cNvGraphicFramePr>
            <a:graphic>
              <a:graphicData uri="http://schemas.openxmlformats.org/drawingml/2006/picture">
                <pic:pic>
                  <pic:nvPicPr>
                    <pic:cNvPr id="0" name="ch_crp_focus.png"/>
                    <pic:cNvPicPr/>
                  </pic:nvPicPr>
                  <pic:blipFill>
                    <a:blip r:embed="rId14"/>
                    <a:stretch>
                      <a:fillRect/>
                    </a:stretch>
                  </pic:blipFill>
                  <pic:spPr>
                    <a:xfrm>
                      <a:off x="0" y="0"/>
                      <a:ext cx="5029200" cy="2475696"/>
                    </a:xfrm>
                    <a:prstGeom prst="rect"/>
                  </pic:spPr>
                </pic:pic>
              </a:graphicData>
            </a:graphic>
          </wp:inline>
        </w:drawing>
      </w:r>
    </w:p>
    <w:p/>
    <w:p>
      <w:pPr>
        <w:pStyle w:val="Heading2"/>
      </w:pPr>
      <w:r>
        <w:t>4.6 Most Active Leaders (LLC)</w:t>
      </w:r>
    </w:p>
    <w:p>
      <w:r>
        <w:drawing>
          <wp:inline xmlns:a="http://schemas.openxmlformats.org/drawingml/2006/main" xmlns:pic="http://schemas.openxmlformats.org/drawingml/2006/picture">
            <wp:extent cx="5029200" cy="3748911"/>
            <wp:docPr id="7" name="Picture 7"/>
            <wp:cNvGraphicFramePr>
              <a:graphicFrameLocks noChangeAspect="1"/>
            </wp:cNvGraphicFramePr>
            <a:graphic>
              <a:graphicData uri="http://schemas.openxmlformats.org/drawingml/2006/picture">
                <pic:pic>
                  <pic:nvPicPr>
                    <pic:cNvPr id="0" name="ch_top_leaders.png"/>
                    <pic:cNvPicPr/>
                  </pic:nvPicPr>
                  <pic:blipFill>
                    <a:blip r:embed="rId15"/>
                    <a:stretch>
                      <a:fillRect/>
                    </a:stretch>
                  </pic:blipFill>
                  <pic:spPr>
                    <a:xfrm>
                      <a:off x="0" y="0"/>
                      <a:ext cx="5029200" cy="3748911"/>
                    </a:xfrm>
                    <a:prstGeom prst="rect"/>
                  </pic:spPr>
                </pic:pic>
              </a:graphicData>
            </a:graphic>
          </wp:inline>
        </w:drawing>
      </w:r>
    </w:p>
    <w:p/>
    <w:tbl>
      <w:tblPr>
        <w:tblStyle w:val="TableGrid"/>
        <w:tblW w:type="auto" w:w="0"/>
        <w:jc w:val="left"/>
        <w:tblLook w:firstColumn="1" w:firstRow="1" w:lastColumn="0" w:lastRow="0" w:noHBand="0" w:noVBand="1" w:val="04A0"/>
      </w:tblPr>
      <w:tblGrid>
        <w:gridCol w:w="5213"/>
        <w:gridCol w:w="5213"/>
      </w:tblGrid>
      <w:tr>
        <w:tc>
          <w:tcPr>
            <w:tcW w:type="dxa" w:w="5760"/>
            <w:shd w:fill="0b3254" w:val="clear"/>
          </w:tcPr>
          <w:p>
            <w:r/>
            <w:r>
              <w:rPr>
                <w:rFonts w:ascii="Source Sans Pro" w:hAnsi="Source Sans Pro"/>
                <w:b/>
                <w:color w:val="FFFFFF"/>
                <w:sz w:val="18"/>
              </w:rPr>
              <w:t>Leader</w:t>
            </w:r>
          </w:p>
        </w:tc>
        <w:tc>
          <w:tcPr>
            <w:tcW w:type="dxa" w:w="2160"/>
            <w:shd w:fill="0b3254" w:val="clear"/>
          </w:tcPr>
          <w:p>
            <w:r/>
            <w:r>
              <w:rPr>
                <w:rFonts w:ascii="Source Sans Pro" w:hAnsi="Source Sans Pro"/>
                <w:b/>
                <w:color w:val="FFFFFF"/>
                <w:sz w:val="18"/>
              </w:rPr>
              <w:t>LLC Count</w:t>
            </w:r>
          </w:p>
        </w:tc>
      </w:tr>
      <w:tr>
        <w:tc>
          <w:tcPr>
            <w:tcW w:type="dxa" w:w="5760"/>
            <w:shd w:fill="f0f5fa" w:val="clear"/>
          </w:tcPr>
          <w:p>
            <w:r/>
            <w:r>
              <w:rPr>
                <w:rFonts w:ascii="Source Sans Pro" w:hAnsi="Source Sans Pro"/>
                <w:sz w:val="18"/>
              </w:rPr>
              <w:t>, Aaron Creagan</w:t>
            </w:r>
          </w:p>
        </w:tc>
        <w:tc>
          <w:tcPr>
            <w:tcW w:type="dxa" w:w="2160"/>
            <w:shd w:fill="f0f5fa" w:val="clear"/>
          </w:tcPr>
          <w:p>
            <w:r/>
            <w:r>
              <w:rPr>
                <w:rFonts w:ascii="Source Sans Pro" w:hAnsi="Source Sans Pro"/>
                <w:sz w:val="18"/>
              </w:rPr>
              <w:t>68</w:t>
            </w:r>
          </w:p>
        </w:tc>
      </w:tr>
      <w:tr>
        <w:tc>
          <w:tcPr>
            <w:tcW w:type="dxa" w:w="5760"/>
            <w:shd w:fill="ffffff" w:val="clear"/>
          </w:tcPr>
          <w:p>
            <w:r/>
            <w:r>
              <w:rPr>
                <w:rFonts w:ascii="Source Sans Pro" w:hAnsi="Source Sans Pro"/>
                <w:sz w:val="18"/>
              </w:rPr>
              <w:t>, Curtis Marles</w:t>
            </w:r>
          </w:p>
        </w:tc>
        <w:tc>
          <w:tcPr>
            <w:tcW w:type="dxa" w:w="2160"/>
            <w:shd w:fill="ffffff" w:val="clear"/>
          </w:tcPr>
          <w:p>
            <w:r/>
            <w:r>
              <w:rPr>
                <w:rFonts w:ascii="Source Sans Pro" w:hAnsi="Source Sans Pro"/>
                <w:sz w:val="18"/>
              </w:rPr>
              <w:t>57</w:t>
            </w:r>
          </w:p>
        </w:tc>
      </w:tr>
      <w:tr>
        <w:tc>
          <w:tcPr>
            <w:tcW w:type="dxa" w:w="5760"/>
            <w:shd w:fill="f0f5fa" w:val="clear"/>
          </w:tcPr>
          <w:p>
            <w:r/>
            <w:r>
              <w:rPr>
                <w:rFonts w:ascii="Source Sans Pro" w:hAnsi="Source Sans Pro"/>
                <w:sz w:val="18"/>
              </w:rPr>
              <w:t>, Ian Carson</w:t>
            </w:r>
          </w:p>
        </w:tc>
        <w:tc>
          <w:tcPr>
            <w:tcW w:type="dxa" w:w="2160"/>
            <w:shd w:fill="f0f5fa" w:val="clear"/>
          </w:tcPr>
          <w:p>
            <w:r/>
            <w:r>
              <w:rPr>
                <w:rFonts w:ascii="Source Sans Pro" w:hAnsi="Source Sans Pro"/>
                <w:sz w:val="18"/>
              </w:rPr>
              <w:t>52</w:t>
            </w:r>
          </w:p>
        </w:tc>
      </w:tr>
      <w:tr>
        <w:tc>
          <w:tcPr>
            <w:tcW w:type="dxa" w:w="5760"/>
            <w:shd w:fill="ffffff" w:val="clear"/>
          </w:tcPr>
          <w:p>
            <w:r/>
            <w:r>
              <w:rPr>
                <w:rFonts w:ascii="Source Sans Pro" w:hAnsi="Source Sans Pro"/>
                <w:sz w:val="18"/>
              </w:rPr>
              <w:t>Curtis Marles</w:t>
            </w:r>
          </w:p>
        </w:tc>
        <w:tc>
          <w:tcPr>
            <w:tcW w:type="dxa" w:w="2160"/>
            <w:shd w:fill="ffffff" w:val="clear"/>
          </w:tcPr>
          <w:p>
            <w:r/>
            <w:r>
              <w:rPr>
                <w:rFonts w:ascii="Source Sans Pro" w:hAnsi="Source Sans Pro"/>
                <w:sz w:val="18"/>
              </w:rPr>
              <w:t>45</w:t>
            </w:r>
          </w:p>
        </w:tc>
      </w:tr>
      <w:tr>
        <w:tc>
          <w:tcPr>
            <w:tcW w:type="dxa" w:w="5760"/>
            <w:shd w:fill="f0f5fa" w:val="clear"/>
          </w:tcPr>
          <w:p>
            <w:r/>
            <w:r>
              <w:rPr>
                <w:rFonts w:ascii="Source Sans Pro" w:hAnsi="Source Sans Pro"/>
                <w:sz w:val="18"/>
              </w:rPr>
              <w:t>Tim Andersen</w:t>
            </w:r>
          </w:p>
        </w:tc>
        <w:tc>
          <w:tcPr>
            <w:tcW w:type="dxa" w:w="2160"/>
            <w:shd w:fill="f0f5fa" w:val="clear"/>
          </w:tcPr>
          <w:p>
            <w:r/>
            <w:r>
              <w:rPr>
                <w:rFonts w:ascii="Source Sans Pro" w:hAnsi="Source Sans Pro"/>
                <w:sz w:val="18"/>
              </w:rPr>
              <w:t>44</w:t>
            </w:r>
          </w:p>
        </w:tc>
      </w:tr>
      <w:tr>
        <w:tc>
          <w:tcPr>
            <w:tcW w:type="dxa" w:w="5760"/>
            <w:shd w:fill="ffffff" w:val="clear"/>
          </w:tcPr>
          <w:p>
            <w:r/>
            <w:r>
              <w:rPr>
                <w:rFonts w:ascii="Source Sans Pro" w:hAnsi="Source Sans Pro"/>
                <w:sz w:val="18"/>
              </w:rPr>
              <w:t>Shaun Johnston</w:t>
            </w:r>
          </w:p>
        </w:tc>
        <w:tc>
          <w:tcPr>
            <w:tcW w:type="dxa" w:w="2160"/>
            <w:shd w:fill="ffffff" w:val="clear"/>
          </w:tcPr>
          <w:p>
            <w:r/>
            <w:r>
              <w:rPr>
                <w:rFonts w:ascii="Source Sans Pro" w:hAnsi="Source Sans Pro"/>
                <w:sz w:val="18"/>
              </w:rPr>
              <w:t>42</w:t>
            </w:r>
          </w:p>
        </w:tc>
      </w:tr>
      <w:tr>
        <w:tc>
          <w:tcPr>
            <w:tcW w:type="dxa" w:w="5760"/>
            <w:shd w:fill="f0f5fa" w:val="clear"/>
          </w:tcPr>
          <w:p>
            <w:r/>
            <w:r>
              <w:rPr>
                <w:rFonts w:ascii="Source Sans Pro" w:hAnsi="Source Sans Pro"/>
                <w:sz w:val="18"/>
              </w:rPr>
              <w:t>, Andrew Roso</w:t>
            </w:r>
          </w:p>
        </w:tc>
        <w:tc>
          <w:tcPr>
            <w:tcW w:type="dxa" w:w="2160"/>
            <w:shd w:fill="f0f5fa" w:val="clear"/>
          </w:tcPr>
          <w:p>
            <w:r/>
            <w:r>
              <w:rPr>
                <w:rFonts w:ascii="Source Sans Pro" w:hAnsi="Source Sans Pro"/>
                <w:sz w:val="18"/>
              </w:rPr>
              <w:t>40</w:t>
            </w:r>
          </w:p>
        </w:tc>
      </w:tr>
      <w:tr>
        <w:tc>
          <w:tcPr>
            <w:tcW w:type="dxa" w:w="5760"/>
            <w:shd w:fill="ffffff" w:val="clear"/>
          </w:tcPr>
          <w:p>
            <w:r/>
            <w:r>
              <w:rPr>
                <w:rFonts w:ascii="Source Sans Pro" w:hAnsi="Source Sans Pro"/>
                <w:sz w:val="18"/>
              </w:rPr>
              <w:t>, Troy Hanson</w:t>
            </w:r>
          </w:p>
        </w:tc>
        <w:tc>
          <w:tcPr>
            <w:tcW w:type="dxa" w:w="2160"/>
            <w:shd w:fill="ffffff" w:val="clear"/>
          </w:tcPr>
          <w:p>
            <w:r/>
            <w:r>
              <w:rPr>
                <w:rFonts w:ascii="Source Sans Pro" w:hAnsi="Source Sans Pro"/>
                <w:sz w:val="18"/>
              </w:rPr>
              <w:t>38</w:t>
            </w:r>
          </w:p>
        </w:tc>
      </w:tr>
      <w:tr>
        <w:tc>
          <w:tcPr>
            <w:tcW w:type="dxa" w:w="5760"/>
            <w:shd w:fill="f0f5fa" w:val="clear"/>
          </w:tcPr>
          <w:p>
            <w:r/>
            <w:r>
              <w:rPr>
                <w:rFonts w:ascii="Source Sans Pro" w:hAnsi="Source Sans Pro"/>
                <w:sz w:val="18"/>
              </w:rPr>
              <w:t>, James Hastie</w:t>
            </w:r>
          </w:p>
        </w:tc>
        <w:tc>
          <w:tcPr>
            <w:tcW w:type="dxa" w:w="2160"/>
            <w:shd w:fill="f0f5fa" w:val="clear"/>
          </w:tcPr>
          <w:p>
            <w:r/>
            <w:r>
              <w:rPr>
                <w:rFonts w:ascii="Source Sans Pro" w:hAnsi="Source Sans Pro"/>
                <w:sz w:val="18"/>
              </w:rPr>
              <w:t>38</w:t>
            </w:r>
          </w:p>
        </w:tc>
      </w:tr>
      <w:tr>
        <w:tc>
          <w:tcPr>
            <w:tcW w:type="dxa" w:w="5760"/>
            <w:shd w:fill="ffffff" w:val="clear"/>
          </w:tcPr>
          <w:p>
            <w:r/>
            <w:r>
              <w:rPr>
                <w:rFonts w:ascii="Source Sans Pro" w:hAnsi="Source Sans Pro"/>
                <w:sz w:val="18"/>
              </w:rPr>
              <w:t>, James Irvine</w:t>
            </w:r>
          </w:p>
        </w:tc>
        <w:tc>
          <w:tcPr>
            <w:tcW w:type="dxa" w:w="2160"/>
            <w:shd w:fill="ffffff" w:val="clear"/>
          </w:tcPr>
          <w:p>
            <w:r/>
            <w:r>
              <w:rPr>
                <w:rFonts w:ascii="Source Sans Pro" w:hAnsi="Source Sans Pro"/>
                <w:sz w:val="18"/>
              </w:rPr>
              <w:t>37</w:t>
            </w:r>
          </w:p>
        </w:tc>
      </w:tr>
      <w:tr>
        <w:tc>
          <w:tcPr>
            <w:tcW w:type="dxa" w:w="5760"/>
            <w:shd w:fill="f0f5fa" w:val="clear"/>
          </w:tcPr>
          <w:p>
            <w:r/>
            <w:r>
              <w:rPr>
                <w:rFonts w:ascii="Source Sans Pro" w:hAnsi="Source Sans Pro"/>
                <w:sz w:val="18"/>
              </w:rPr>
              <w:t>, Karen Boyes</w:t>
            </w:r>
          </w:p>
        </w:tc>
        <w:tc>
          <w:tcPr>
            <w:tcW w:type="dxa" w:w="2160"/>
            <w:shd w:fill="f0f5fa" w:val="clear"/>
          </w:tcPr>
          <w:p>
            <w:r/>
            <w:r>
              <w:rPr>
                <w:rFonts w:ascii="Source Sans Pro" w:hAnsi="Source Sans Pro"/>
                <w:sz w:val="18"/>
              </w:rPr>
              <w:t>33</w:t>
            </w:r>
          </w:p>
        </w:tc>
      </w:tr>
      <w:tr>
        <w:tc>
          <w:tcPr>
            <w:tcW w:type="dxa" w:w="5760"/>
            <w:shd w:fill="ffffff" w:val="clear"/>
          </w:tcPr>
          <w:p>
            <w:r/>
            <w:r>
              <w:rPr>
                <w:rFonts w:ascii="Source Sans Pro" w:hAnsi="Source Sans Pro"/>
                <w:sz w:val="18"/>
              </w:rPr>
              <w:t>, Jared Henry</w:t>
            </w:r>
          </w:p>
        </w:tc>
        <w:tc>
          <w:tcPr>
            <w:tcW w:type="dxa" w:w="2160"/>
            <w:shd w:fill="ffffff" w:val="clear"/>
          </w:tcPr>
          <w:p>
            <w:r/>
            <w:r>
              <w:rPr>
                <w:rFonts w:ascii="Source Sans Pro" w:hAnsi="Source Sans Pro"/>
                <w:sz w:val="18"/>
              </w:rPr>
              <w:t>31</w:t>
            </w:r>
          </w:p>
        </w:tc>
      </w:tr>
    </w:tbl>
    <w:p/>
    <w:p>
      <w:pPr>
        <w:pStyle w:val="Heading2"/>
      </w:pPr>
      <w:r>
        <w:t>4.7 Rolling Two-Year Trend and Quality View</w:t>
      </w:r>
    </w:p>
    <w:p>
      <w:r>
        <w:rPr>
          <w:rFonts w:ascii="Source Sans Pro" w:hAnsi="Source Sans Pro"/>
          <w:b w:val="0"/>
          <w:i w:val="0"/>
          <w:color w:val="0B3254"/>
          <w:sz w:val="22"/>
        </w:rPr>
        <w:t>This view uses a rolling two-year Safety Energy window from 2024-01-01 to 2025-12-31. It is designed to answer not just whether activities were completed, but whether the records suggest meaningful learning, risk recognition, and follow-up quality.</w:t>
      </w:r>
    </w:p>
    <w:p>
      <w:r>
        <w:rPr>
          <w:rFonts w:ascii="Source Sans Pro" w:hAnsi="Source Sans Pro"/>
          <w:b w:val="0"/>
          <w:i w:val="0"/>
          <w:color w:val="64748B"/>
          <w:sz w:val="20"/>
        </w:rPr>
        <w:t>Quality is inferred using practical proxies: richness and specificity of text, risk recognition, action/follow-up language, evidence of learning, input depth across useful fields, and penalties for generic or repeated wording. These scores indicate likely value, not definitive assurance.</w:t>
      </w:r>
    </w:p>
    <w:p>
      <w:r>
        <w:drawing>
          <wp:inline xmlns:a="http://schemas.openxmlformats.org/drawingml/2006/main" xmlns:pic="http://schemas.openxmlformats.org/drawingml/2006/picture">
            <wp:extent cx="5486400" cy="1967826"/>
            <wp:docPr id="8" name="Picture 8"/>
            <wp:cNvGraphicFramePr>
              <a:graphicFrameLocks noChangeAspect="1"/>
            </wp:cNvGraphicFramePr>
            <a:graphic>
              <a:graphicData uri="http://schemas.openxmlformats.org/drawingml/2006/picture">
                <pic:pic>
                  <pic:nvPicPr>
                    <pic:cNvPr id="0" name="ch_quality_trend.png"/>
                    <pic:cNvPicPr/>
                  </pic:nvPicPr>
                  <pic:blipFill>
                    <a:blip r:embed="rId16"/>
                    <a:stretch>
                      <a:fillRect/>
                    </a:stretch>
                  </pic:blipFill>
                  <pic:spPr>
                    <a:xfrm>
                      <a:off x="0" y="0"/>
                      <a:ext cx="5486400" cy="1967826"/>
                    </a:xfrm>
                    <a:prstGeom prst="rect"/>
                  </pic:spPr>
                </pic:pic>
              </a:graphicData>
            </a:graphic>
          </wp:inline>
        </w:drawing>
      </w:r>
    </w:p>
    <w:p/>
    <w:tbl>
      <w:tblPr>
        <w:tblStyle w:val="TableGrid"/>
        <w:tblW w:type="auto" w:w="0"/>
        <w:jc w:val="left"/>
        <w:tblLook w:firstColumn="1" w:firstRow="1" w:lastColumn="0" w:lastRow="0" w:noHBand="0" w:noVBand="1" w:val="04A0"/>
      </w:tblPr>
      <w:tblGrid>
        <w:gridCol w:w="1303"/>
        <w:gridCol w:w="1303"/>
        <w:gridCol w:w="1303"/>
        <w:gridCol w:w="1303"/>
        <w:gridCol w:w="1303"/>
        <w:gridCol w:w="1303"/>
        <w:gridCol w:w="1303"/>
        <w:gridCol w:w="1303"/>
      </w:tblGrid>
      <w:tr>
        <w:tc>
          <w:tcPr>
            <w:tcW w:type="dxa" w:w="1152"/>
            <w:shd w:fill="0b3254" w:val="clear"/>
          </w:tcPr>
          <w:p>
            <w:r/>
            <w:r>
              <w:rPr>
                <w:rFonts w:ascii="Source Sans Pro" w:hAnsi="Source Sans Pro"/>
                <w:b/>
                <w:color w:val="FFFFFF"/>
                <w:sz w:val="18"/>
              </w:rPr>
              <w:t>Type</w:t>
            </w:r>
          </w:p>
        </w:tc>
        <w:tc>
          <w:tcPr>
            <w:tcW w:type="dxa" w:w="1152"/>
            <w:shd w:fill="0b3254" w:val="clear"/>
          </w:tcPr>
          <w:p>
            <w:r/>
            <w:r>
              <w:rPr>
                <w:rFonts w:ascii="Source Sans Pro" w:hAnsi="Source Sans Pro"/>
                <w:b/>
                <w:color w:val="FFFFFF"/>
                <w:sz w:val="18"/>
              </w:rPr>
              <w:t>Count</w:t>
            </w:r>
          </w:p>
        </w:tc>
        <w:tc>
          <w:tcPr>
            <w:tcW w:type="dxa" w:w="1296"/>
            <w:shd w:fill="0b3254" w:val="clear"/>
          </w:tcPr>
          <w:p>
            <w:r/>
            <w:r>
              <w:rPr>
                <w:rFonts w:ascii="Source Sans Pro" w:hAnsi="Source Sans Pro"/>
                <w:b/>
                <w:color w:val="FFFFFF"/>
                <w:sz w:val="18"/>
              </w:rPr>
              <w:t>Avg Quality</w:t>
            </w:r>
          </w:p>
        </w:tc>
        <w:tc>
          <w:tcPr>
            <w:tcW w:type="dxa" w:w="1440"/>
            <w:shd w:fill="0b3254" w:val="clear"/>
          </w:tcPr>
          <w:p>
            <w:r/>
            <w:r>
              <w:rPr>
                <w:rFonts w:ascii="Source Sans Pro" w:hAnsi="Source Sans Pro"/>
                <w:b/>
                <w:color w:val="FFFFFF"/>
                <w:sz w:val="18"/>
              </w:rPr>
              <w:t>Avg Input Depth</w:t>
            </w:r>
          </w:p>
        </w:tc>
        <w:tc>
          <w:tcPr>
            <w:tcW w:type="dxa" w:w="1296"/>
            <w:shd w:fill="0b3254" w:val="clear"/>
          </w:tcPr>
          <w:p>
            <w:r/>
            <w:r>
              <w:rPr>
                <w:rFonts w:ascii="Source Sans Pro" w:hAnsi="Source Sans Pro"/>
                <w:b/>
                <w:color w:val="FFFFFF"/>
                <w:sz w:val="18"/>
              </w:rPr>
              <w:t>Meaningful</w:t>
            </w:r>
          </w:p>
        </w:tc>
        <w:tc>
          <w:tcPr>
            <w:tcW w:type="dxa" w:w="1296"/>
            <w:shd w:fill="0b3254" w:val="clear"/>
          </w:tcPr>
          <w:p>
            <w:r/>
            <w:r>
              <w:rPr>
                <w:rFonts w:ascii="Source Sans Pro" w:hAnsi="Source Sans Pro"/>
                <w:b/>
                <w:color w:val="FFFFFF"/>
                <w:sz w:val="18"/>
              </w:rPr>
              <w:t>High Value</w:t>
            </w:r>
          </w:p>
        </w:tc>
        <w:tc>
          <w:tcPr>
            <w:tcW w:type="dxa" w:w="1296"/>
            <w:shd w:fill="0b3254" w:val="clear"/>
          </w:tcPr>
          <w:p>
            <w:r/>
            <w:r>
              <w:rPr>
                <w:rFonts w:ascii="Source Sans Pro" w:hAnsi="Source Sans Pro"/>
                <w:b/>
                <w:color w:val="FFFFFF"/>
                <w:sz w:val="18"/>
              </w:rPr>
              <w:t>Shallow</w:t>
            </w:r>
          </w:p>
        </w:tc>
        <w:tc>
          <w:tcPr>
            <w:tcW w:type="dxa" w:w="1296"/>
            <w:shd w:fill="0b3254" w:val="clear"/>
          </w:tcPr>
          <w:p>
            <w:r/>
            <w:r>
              <w:rPr>
                <w:rFonts w:ascii="Source Sans Pro" w:hAnsi="Source Sans Pro"/>
                <w:b/>
                <w:color w:val="FFFFFF"/>
                <w:sz w:val="18"/>
              </w:rPr>
              <w:t>Follow-up</w:t>
            </w:r>
          </w:p>
        </w:tc>
      </w:tr>
      <w:tr>
        <w:tc>
          <w:tcPr>
            <w:tcW w:type="dxa" w:w="1152"/>
            <w:shd w:fill="f0f5fa" w:val="clear"/>
          </w:tcPr>
          <w:p>
            <w:r/>
            <w:r>
              <w:rPr>
                <w:rFonts w:ascii="Source Sans Pro" w:hAnsi="Source Sans Pro"/>
                <w:sz w:val="18"/>
              </w:rPr>
              <w:t>LLC</w:t>
            </w:r>
          </w:p>
        </w:tc>
        <w:tc>
          <w:tcPr>
            <w:tcW w:type="dxa" w:w="1152"/>
            <w:shd w:fill="f0f5fa" w:val="clear"/>
          </w:tcPr>
          <w:p>
            <w:r/>
            <w:r>
              <w:rPr>
                <w:rFonts w:ascii="Source Sans Pro" w:hAnsi="Source Sans Pro"/>
                <w:sz w:val="18"/>
              </w:rPr>
              <w:t>5954</w:t>
            </w:r>
          </w:p>
        </w:tc>
        <w:tc>
          <w:tcPr>
            <w:tcW w:type="dxa" w:w="1296"/>
            <w:shd w:fill="f0f5fa" w:val="clear"/>
          </w:tcPr>
          <w:p>
            <w:r/>
            <w:r>
              <w:rPr>
                <w:rFonts w:ascii="Source Sans Pro" w:hAnsi="Source Sans Pro"/>
                <w:sz w:val="18"/>
              </w:rPr>
              <w:t>58.2</w:t>
            </w:r>
          </w:p>
        </w:tc>
        <w:tc>
          <w:tcPr>
            <w:tcW w:type="dxa" w:w="1440"/>
            <w:shd w:fill="f0f5fa" w:val="clear"/>
          </w:tcPr>
          <w:p>
            <w:r/>
            <w:r>
              <w:rPr>
                <w:rFonts w:ascii="Source Sans Pro" w:hAnsi="Source Sans Pro"/>
                <w:sz w:val="18"/>
              </w:rPr>
              <w:t>55.9</w:t>
            </w:r>
          </w:p>
        </w:tc>
        <w:tc>
          <w:tcPr>
            <w:tcW w:type="dxa" w:w="1296"/>
            <w:shd w:fill="f0f5fa" w:val="clear"/>
          </w:tcPr>
          <w:p>
            <w:r/>
            <w:r>
              <w:rPr>
                <w:rFonts w:ascii="Source Sans Pro" w:hAnsi="Source Sans Pro"/>
                <w:sz w:val="18"/>
              </w:rPr>
              <w:t>61.5%</w:t>
            </w:r>
          </w:p>
        </w:tc>
        <w:tc>
          <w:tcPr>
            <w:tcW w:type="dxa" w:w="1296"/>
            <w:shd w:fill="f0f5fa" w:val="clear"/>
          </w:tcPr>
          <w:p>
            <w:r/>
            <w:r>
              <w:rPr>
                <w:rFonts w:ascii="Source Sans Pro" w:hAnsi="Source Sans Pro"/>
                <w:sz w:val="18"/>
              </w:rPr>
              <w:t>19.8%</w:t>
            </w:r>
          </w:p>
        </w:tc>
        <w:tc>
          <w:tcPr>
            <w:tcW w:type="dxa" w:w="1296"/>
            <w:shd w:fill="f0f5fa" w:val="clear"/>
          </w:tcPr>
          <w:p>
            <w:r/>
            <w:r>
              <w:rPr>
                <w:rFonts w:ascii="Source Sans Pro" w:hAnsi="Source Sans Pro"/>
                <w:sz w:val="18"/>
              </w:rPr>
              <w:t>2.8%</w:t>
            </w:r>
          </w:p>
        </w:tc>
        <w:tc>
          <w:tcPr>
            <w:tcW w:type="dxa" w:w="1296"/>
            <w:shd w:fill="f0f5fa" w:val="clear"/>
          </w:tcPr>
          <w:p>
            <w:r/>
            <w:r>
              <w:rPr>
                <w:rFonts w:ascii="Source Sans Pro" w:hAnsi="Source Sans Pro"/>
                <w:sz w:val="18"/>
              </w:rPr>
              <w:t>42.2%</w:t>
            </w:r>
          </w:p>
        </w:tc>
      </w:tr>
      <w:tr>
        <w:tc>
          <w:tcPr>
            <w:tcW w:type="dxa" w:w="1152"/>
            <w:shd w:fill="ffffff" w:val="clear"/>
          </w:tcPr>
          <w:p>
            <w:r/>
            <w:r>
              <w:rPr>
                <w:rFonts w:ascii="Source Sans Pro" w:hAnsi="Source Sans Pro"/>
                <w:sz w:val="18"/>
              </w:rPr>
              <w:t>CCC</w:t>
            </w:r>
          </w:p>
        </w:tc>
        <w:tc>
          <w:tcPr>
            <w:tcW w:type="dxa" w:w="1152"/>
            <w:shd w:fill="ffffff" w:val="clear"/>
          </w:tcPr>
          <w:p>
            <w:r/>
            <w:r>
              <w:rPr>
                <w:rFonts w:ascii="Source Sans Pro" w:hAnsi="Source Sans Pro"/>
                <w:sz w:val="18"/>
              </w:rPr>
              <w:t>7730</w:t>
            </w:r>
          </w:p>
        </w:tc>
        <w:tc>
          <w:tcPr>
            <w:tcW w:type="dxa" w:w="1296"/>
            <w:shd w:fill="ffffff" w:val="clear"/>
          </w:tcPr>
          <w:p>
            <w:r/>
            <w:r>
              <w:rPr>
                <w:rFonts w:ascii="Source Sans Pro" w:hAnsi="Source Sans Pro"/>
                <w:sz w:val="18"/>
              </w:rPr>
              <w:t>28.2</w:t>
            </w:r>
          </w:p>
        </w:tc>
        <w:tc>
          <w:tcPr>
            <w:tcW w:type="dxa" w:w="1440"/>
            <w:shd w:fill="ffffff" w:val="clear"/>
          </w:tcPr>
          <w:p>
            <w:r/>
            <w:r>
              <w:rPr>
                <w:rFonts w:ascii="Source Sans Pro" w:hAnsi="Source Sans Pro"/>
                <w:sz w:val="18"/>
              </w:rPr>
              <w:t>40.2</w:t>
            </w:r>
          </w:p>
        </w:tc>
        <w:tc>
          <w:tcPr>
            <w:tcW w:type="dxa" w:w="1296"/>
            <w:shd w:fill="ffffff" w:val="clear"/>
          </w:tcPr>
          <w:p>
            <w:r/>
            <w:r>
              <w:rPr>
                <w:rFonts w:ascii="Source Sans Pro" w:hAnsi="Source Sans Pro"/>
                <w:sz w:val="18"/>
              </w:rPr>
              <w:t>6.5%</w:t>
            </w:r>
          </w:p>
        </w:tc>
        <w:tc>
          <w:tcPr>
            <w:tcW w:type="dxa" w:w="1296"/>
            <w:shd w:fill="ffffff" w:val="clear"/>
          </w:tcPr>
          <w:p>
            <w:r/>
            <w:r>
              <w:rPr>
                <w:rFonts w:ascii="Source Sans Pro" w:hAnsi="Source Sans Pro"/>
                <w:sz w:val="18"/>
              </w:rPr>
              <w:t>1.4%</w:t>
            </w:r>
          </w:p>
        </w:tc>
        <w:tc>
          <w:tcPr>
            <w:tcW w:type="dxa" w:w="1296"/>
            <w:shd w:fill="ffffff" w:val="clear"/>
          </w:tcPr>
          <w:p>
            <w:r/>
            <w:r>
              <w:rPr>
                <w:rFonts w:ascii="Source Sans Pro" w:hAnsi="Source Sans Pro"/>
                <w:sz w:val="18"/>
              </w:rPr>
              <w:t>68.3%</w:t>
            </w:r>
          </w:p>
        </w:tc>
        <w:tc>
          <w:tcPr>
            <w:tcW w:type="dxa" w:w="1296"/>
            <w:shd w:fill="ffffff" w:val="clear"/>
          </w:tcPr>
          <w:p>
            <w:r/>
            <w:r>
              <w:rPr>
                <w:rFonts w:ascii="Source Sans Pro" w:hAnsi="Source Sans Pro"/>
                <w:sz w:val="18"/>
              </w:rPr>
              <w:t>16.4%</w:t>
            </w:r>
          </w:p>
        </w:tc>
      </w:tr>
      <w:tr>
        <w:tc>
          <w:tcPr>
            <w:tcW w:type="dxa" w:w="1152"/>
            <w:shd w:fill="f0f5fa" w:val="clear"/>
          </w:tcPr>
          <w:p>
            <w:r/>
            <w:r>
              <w:rPr>
                <w:rFonts w:ascii="Source Sans Pro" w:hAnsi="Source Sans Pro"/>
                <w:sz w:val="18"/>
              </w:rPr>
              <w:t>OCC</w:t>
            </w:r>
          </w:p>
        </w:tc>
        <w:tc>
          <w:tcPr>
            <w:tcW w:type="dxa" w:w="1152"/>
            <w:shd w:fill="f0f5fa" w:val="clear"/>
          </w:tcPr>
          <w:p>
            <w:r/>
            <w:r>
              <w:rPr>
                <w:rFonts w:ascii="Source Sans Pro" w:hAnsi="Source Sans Pro"/>
                <w:sz w:val="18"/>
              </w:rPr>
              <w:t>5789</w:t>
            </w:r>
          </w:p>
        </w:tc>
        <w:tc>
          <w:tcPr>
            <w:tcW w:type="dxa" w:w="1296"/>
            <w:shd w:fill="f0f5fa" w:val="clear"/>
          </w:tcPr>
          <w:p>
            <w:r/>
            <w:r>
              <w:rPr>
                <w:rFonts w:ascii="Source Sans Pro" w:hAnsi="Source Sans Pro"/>
                <w:sz w:val="18"/>
              </w:rPr>
              <w:t>10.4</w:t>
            </w:r>
          </w:p>
        </w:tc>
        <w:tc>
          <w:tcPr>
            <w:tcW w:type="dxa" w:w="1440"/>
            <w:shd w:fill="f0f5fa" w:val="clear"/>
          </w:tcPr>
          <w:p>
            <w:r/>
            <w:r>
              <w:rPr>
                <w:rFonts w:ascii="Source Sans Pro" w:hAnsi="Source Sans Pro"/>
                <w:sz w:val="18"/>
              </w:rPr>
              <w:t>34.3</w:t>
            </w:r>
          </w:p>
        </w:tc>
        <w:tc>
          <w:tcPr>
            <w:tcW w:type="dxa" w:w="1296"/>
            <w:shd w:fill="f0f5fa" w:val="clear"/>
          </w:tcPr>
          <w:p>
            <w:r/>
            <w:r>
              <w:rPr>
                <w:rFonts w:ascii="Source Sans Pro" w:hAnsi="Source Sans Pro"/>
                <w:sz w:val="18"/>
              </w:rPr>
              <w:t>1.5%</w:t>
            </w:r>
          </w:p>
        </w:tc>
        <w:tc>
          <w:tcPr>
            <w:tcW w:type="dxa" w:w="1296"/>
            <w:shd w:fill="f0f5fa" w:val="clear"/>
          </w:tcPr>
          <w:p>
            <w:r/>
            <w:r>
              <w:rPr>
                <w:rFonts w:ascii="Source Sans Pro" w:hAnsi="Source Sans Pro"/>
                <w:sz w:val="18"/>
              </w:rPr>
              <w:t>0.3%</w:t>
            </w:r>
          </w:p>
        </w:tc>
        <w:tc>
          <w:tcPr>
            <w:tcW w:type="dxa" w:w="1296"/>
            <w:shd w:fill="f0f5fa" w:val="clear"/>
          </w:tcPr>
          <w:p>
            <w:r/>
            <w:r>
              <w:rPr>
                <w:rFonts w:ascii="Source Sans Pro" w:hAnsi="Source Sans Pro"/>
                <w:sz w:val="18"/>
              </w:rPr>
              <w:t>91.9%</w:t>
            </w:r>
          </w:p>
        </w:tc>
        <w:tc>
          <w:tcPr>
            <w:tcW w:type="dxa" w:w="1296"/>
            <w:shd w:fill="f0f5fa" w:val="clear"/>
          </w:tcPr>
          <w:p>
            <w:r/>
            <w:r>
              <w:rPr>
                <w:rFonts w:ascii="Source Sans Pro" w:hAnsi="Source Sans Pro"/>
                <w:sz w:val="18"/>
              </w:rPr>
              <w:t>10.0%</w:t>
            </w:r>
          </w:p>
        </w:tc>
      </w:tr>
    </w:tbl>
    <w:p/>
    <w:p>
      <w:pPr>
        <w:pStyle w:val="Heading2"/>
      </w:pPr>
      <w:r>
        <w:t>4.8 Input Depth as a Supporting Quality Metric</w:t>
      </w:r>
    </w:p>
    <w:p>
      <w:r>
        <w:rPr>
          <w:rFonts w:ascii="Source Sans Pro" w:hAnsi="Source Sans Pro"/>
          <w:b w:val="0"/>
          <w:i w:val="0"/>
          <w:color w:val="0B3254"/>
          <w:sz w:val="22"/>
        </w:rPr>
        <w:t>Across the two-year Safety Energy window, input depth and quality score are correlated at r = 0.82. Input depth appears usable as a supporting quality metric.</w:t>
      </w:r>
    </w:p>
    <w:tbl>
      <w:tblPr>
        <w:tblStyle w:val="TableGrid"/>
        <w:tblW w:type="auto" w:w="0"/>
        <w:jc w:val="left"/>
        <w:tblLook w:firstColumn="1" w:firstRow="1" w:lastColumn="0" w:lastRow="0" w:noHBand="0" w:noVBand="1" w:val="04A0"/>
      </w:tblPr>
      <w:tblGrid>
        <w:gridCol w:w="1489"/>
        <w:gridCol w:w="1489"/>
        <w:gridCol w:w="1489"/>
        <w:gridCol w:w="1489"/>
        <w:gridCol w:w="1489"/>
        <w:gridCol w:w="1489"/>
        <w:gridCol w:w="1489"/>
      </w:tblGrid>
      <w:tr>
        <w:tc>
          <w:tcPr>
            <w:tcW w:type="dxa" w:w="1296"/>
            <w:shd w:fill="0b3254" w:val="clear"/>
          </w:tcPr>
          <w:p>
            <w:r/>
            <w:r>
              <w:rPr>
                <w:rFonts w:ascii="Source Sans Pro" w:hAnsi="Source Sans Pro"/>
                <w:b/>
                <w:color w:val="FFFFFF"/>
                <w:sz w:val="18"/>
              </w:rPr>
              <w:t>Band</w:t>
            </w:r>
          </w:p>
        </w:tc>
        <w:tc>
          <w:tcPr>
            <w:tcW w:type="dxa" w:w="1152"/>
            <w:shd w:fill="0b3254" w:val="clear"/>
          </w:tcPr>
          <w:p>
            <w:r/>
            <w:r>
              <w:rPr>
                <w:rFonts w:ascii="Source Sans Pro" w:hAnsi="Source Sans Pro"/>
                <w:b/>
                <w:color w:val="FFFFFF"/>
                <w:sz w:val="18"/>
              </w:rPr>
              <w:t>Count</w:t>
            </w:r>
          </w:p>
        </w:tc>
        <w:tc>
          <w:tcPr>
            <w:tcW w:type="dxa" w:w="1440"/>
            <w:shd w:fill="0b3254" w:val="clear"/>
          </w:tcPr>
          <w:p>
            <w:r/>
            <w:r>
              <w:rPr>
                <w:rFonts w:ascii="Source Sans Pro" w:hAnsi="Source Sans Pro"/>
                <w:b/>
                <w:color w:val="FFFFFF"/>
                <w:sz w:val="18"/>
              </w:rPr>
              <w:t>Avg Input Depth</w:t>
            </w:r>
          </w:p>
        </w:tc>
        <w:tc>
          <w:tcPr>
            <w:tcW w:type="dxa" w:w="1296"/>
            <w:shd w:fill="0b3254" w:val="clear"/>
          </w:tcPr>
          <w:p>
            <w:r/>
            <w:r>
              <w:rPr>
                <w:rFonts w:ascii="Source Sans Pro" w:hAnsi="Source Sans Pro"/>
                <w:b/>
                <w:color w:val="FFFFFF"/>
                <w:sz w:val="18"/>
              </w:rPr>
              <w:t>Avg Quality</w:t>
            </w:r>
          </w:p>
        </w:tc>
        <w:tc>
          <w:tcPr>
            <w:tcW w:type="dxa" w:w="1296"/>
            <w:shd w:fill="0b3254" w:val="clear"/>
          </w:tcPr>
          <w:p>
            <w:r/>
            <w:r>
              <w:rPr>
                <w:rFonts w:ascii="Source Sans Pro" w:hAnsi="Source Sans Pro"/>
                <w:b/>
                <w:color w:val="FFFFFF"/>
                <w:sz w:val="18"/>
              </w:rPr>
              <w:t>Meaningful</w:t>
            </w:r>
          </w:p>
        </w:tc>
        <w:tc>
          <w:tcPr>
            <w:tcW w:type="dxa" w:w="1296"/>
            <w:shd w:fill="0b3254" w:val="clear"/>
          </w:tcPr>
          <w:p>
            <w:r/>
            <w:r>
              <w:rPr>
                <w:rFonts w:ascii="Source Sans Pro" w:hAnsi="Source Sans Pro"/>
                <w:b/>
                <w:color w:val="FFFFFF"/>
                <w:sz w:val="18"/>
              </w:rPr>
              <w:t>High Value</w:t>
            </w:r>
          </w:p>
        </w:tc>
        <w:tc>
          <w:tcPr>
            <w:tcW w:type="dxa" w:w="1296"/>
            <w:shd w:fill="0b3254" w:val="clear"/>
          </w:tcPr>
          <w:p>
            <w:r/>
            <w:r>
              <w:rPr>
                <w:rFonts w:ascii="Source Sans Pro" w:hAnsi="Source Sans Pro"/>
                <w:b/>
                <w:color w:val="FFFFFF"/>
                <w:sz w:val="18"/>
              </w:rPr>
              <w:t>Shallow</w:t>
            </w:r>
          </w:p>
        </w:tc>
      </w:tr>
      <w:tr>
        <w:tc>
          <w:tcPr>
            <w:tcW w:type="dxa" w:w="1296"/>
            <w:shd w:fill="f0f5fa" w:val="clear"/>
          </w:tcPr>
          <w:p>
            <w:r/>
            <w:r>
              <w:rPr>
                <w:rFonts w:ascii="Source Sans Pro" w:hAnsi="Source Sans Pro"/>
                <w:sz w:val="18"/>
              </w:rPr>
              <w:t>Light</w:t>
            </w:r>
          </w:p>
        </w:tc>
        <w:tc>
          <w:tcPr>
            <w:tcW w:type="dxa" w:w="1152"/>
            <w:shd w:fill="f0f5fa" w:val="clear"/>
          </w:tcPr>
          <w:p>
            <w:r/>
            <w:r>
              <w:rPr>
                <w:rFonts w:ascii="Source Sans Pro" w:hAnsi="Source Sans Pro"/>
                <w:sz w:val="18"/>
              </w:rPr>
              <w:t>7266</w:t>
            </w:r>
          </w:p>
        </w:tc>
        <w:tc>
          <w:tcPr>
            <w:tcW w:type="dxa" w:w="1440"/>
            <w:shd w:fill="f0f5fa" w:val="clear"/>
          </w:tcPr>
          <w:p>
            <w:r/>
            <w:r>
              <w:rPr>
                <w:rFonts w:ascii="Source Sans Pro" w:hAnsi="Source Sans Pro"/>
                <w:sz w:val="18"/>
              </w:rPr>
              <w:t>33.3</w:t>
            </w:r>
          </w:p>
        </w:tc>
        <w:tc>
          <w:tcPr>
            <w:tcW w:type="dxa" w:w="1296"/>
            <w:shd w:fill="f0f5fa" w:val="clear"/>
          </w:tcPr>
          <w:p>
            <w:r/>
            <w:r>
              <w:rPr>
                <w:rFonts w:ascii="Source Sans Pro" w:hAnsi="Source Sans Pro"/>
                <w:sz w:val="18"/>
              </w:rPr>
              <w:t>10.6</w:t>
            </w:r>
          </w:p>
        </w:tc>
        <w:tc>
          <w:tcPr>
            <w:tcW w:type="dxa" w:w="1296"/>
            <w:shd w:fill="f0f5fa" w:val="clear"/>
          </w:tcPr>
          <w:p>
            <w:r/>
            <w:r>
              <w:rPr>
                <w:rFonts w:ascii="Source Sans Pro" w:hAnsi="Source Sans Pro"/>
                <w:sz w:val="18"/>
              </w:rPr>
              <w:t>0.8%</w:t>
            </w:r>
          </w:p>
        </w:tc>
        <w:tc>
          <w:tcPr>
            <w:tcW w:type="dxa" w:w="1296"/>
            <w:shd w:fill="f0f5fa" w:val="clear"/>
          </w:tcPr>
          <w:p>
            <w:r/>
            <w:r>
              <w:rPr>
                <w:rFonts w:ascii="Source Sans Pro" w:hAnsi="Source Sans Pro"/>
                <w:sz w:val="18"/>
              </w:rPr>
              <w:t>0.1%</w:t>
            </w:r>
          </w:p>
        </w:tc>
        <w:tc>
          <w:tcPr>
            <w:tcW w:type="dxa" w:w="1296"/>
            <w:shd w:fill="f0f5fa" w:val="clear"/>
          </w:tcPr>
          <w:p>
            <w:r/>
            <w:r>
              <w:rPr>
                <w:rFonts w:ascii="Source Sans Pro" w:hAnsi="Source Sans Pro"/>
                <w:sz w:val="18"/>
              </w:rPr>
              <w:t>92.9%</w:t>
            </w:r>
          </w:p>
        </w:tc>
      </w:tr>
      <w:tr>
        <w:tc>
          <w:tcPr>
            <w:tcW w:type="dxa" w:w="1296"/>
            <w:shd w:fill="ffffff" w:val="clear"/>
          </w:tcPr>
          <w:p>
            <w:r/>
            <w:r>
              <w:rPr>
                <w:rFonts w:ascii="Source Sans Pro" w:hAnsi="Source Sans Pro"/>
                <w:sz w:val="18"/>
              </w:rPr>
              <w:t>Balanced</w:t>
            </w:r>
          </w:p>
        </w:tc>
        <w:tc>
          <w:tcPr>
            <w:tcW w:type="dxa" w:w="1152"/>
            <w:shd w:fill="ffffff" w:val="clear"/>
          </w:tcPr>
          <w:p>
            <w:r/>
            <w:r>
              <w:rPr>
                <w:rFonts w:ascii="Source Sans Pro" w:hAnsi="Source Sans Pro"/>
                <w:sz w:val="18"/>
              </w:rPr>
              <w:t>9867</w:t>
            </w:r>
          </w:p>
        </w:tc>
        <w:tc>
          <w:tcPr>
            <w:tcW w:type="dxa" w:w="1440"/>
            <w:shd w:fill="ffffff" w:val="clear"/>
          </w:tcPr>
          <w:p>
            <w:r/>
            <w:r>
              <w:rPr>
                <w:rFonts w:ascii="Source Sans Pro" w:hAnsi="Source Sans Pro"/>
                <w:sz w:val="18"/>
              </w:rPr>
              <w:t>45.6</w:t>
            </w:r>
          </w:p>
        </w:tc>
        <w:tc>
          <w:tcPr>
            <w:tcW w:type="dxa" w:w="1296"/>
            <w:shd w:fill="ffffff" w:val="clear"/>
          </w:tcPr>
          <w:p>
            <w:r/>
            <w:r>
              <w:rPr>
                <w:rFonts w:ascii="Source Sans Pro" w:hAnsi="Source Sans Pro"/>
                <w:sz w:val="18"/>
              </w:rPr>
              <w:t>41.2</w:t>
            </w:r>
          </w:p>
        </w:tc>
        <w:tc>
          <w:tcPr>
            <w:tcW w:type="dxa" w:w="1296"/>
            <w:shd w:fill="ffffff" w:val="clear"/>
          </w:tcPr>
          <w:p>
            <w:r/>
            <w:r>
              <w:rPr>
                <w:rFonts w:ascii="Source Sans Pro" w:hAnsi="Source Sans Pro"/>
                <w:sz w:val="18"/>
              </w:rPr>
              <w:t>26.6%</w:t>
            </w:r>
          </w:p>
        </w:tc>
        <w:tc>
          <w:tcPr>
            <w:tcW w:type="dxa" w:w="1296"/>
            <w:shd w:fill="ffffff" w:val="clear"/>
          </w:tcPr>
          <w:p>
            <w:r/>
            <w:r>
              <w:rPr>
                <w:rFonts w:ascii="Source Sans Pro" w:hAnsi="Source Sans Pro"/>
                <w:sz w:val="18"/>
              </w:rPr>
              <w:t>7.3%</w:t>
            </w:r>
          </w:p>
        </w:tc>
        <w:tc>
          <w:tcPr>
            <w:tcW w:type="dxa" w:w="1296"/>
            <w:shd w:fill="ffffff" w:val="clear"/>
          </w:tcPr>
          <w:p>
            <w:r/>
            <w:r>
              <w:rPr>
                <w:rFonts w:ascii="Source Sans Pro" w:hAnsi="Source Sans Pro"/>
                <w:sz w:val="18"/>
              </w:rPr>
              <w:t>40.4%</w:t>
            </w:r>
          </w:p>
        </w:tc>
      </w:tr>
      <w:tr>
        <w:tc>
          <w:tcPr>
            <w:tcW w:type="dxa" w:w="1296"/>
            <w:shd w:fill="f0f5fa" w:val="clear"/>
          </w:tcPr>
          <w:p>
            <w:r/>
            <w:r>
              <w:rPr>
                <w:rFonts w:ascii="Source Sans Pro" w:hAnsi="Source Sans Pro"/>
                <w:sz w:val="18"/>
              </w:rPr>
              <w:t>Rich</w:t>
            </w:r>
          </w:p>
        </w:tc>
        <w:tc>
          <w:tcPr>
            <w:tcW w:type="dxa" w:w="1152"/>
            <w:shd w:fill="f0f5fa" w:val="clear"/>
          </w:tcPr>
          <w:p>
            <w:r/>
            <w:r>
              <w:rPr>
                <w:rFonts w:ascii="Source Sans Pro" w:hAnsi="Source Sans Pro"/>
                <w:sz w:val="18"/>
              </w:rPr>
              <w:t>2340</w:t>
            </w:r>
          </w:p>
        </w:tc>
        <w:tc>
          <w:tcPr>
            <w:tcW w:type="dxa" w:w="1440"/>
            <w:shd w:fill="f0f5fa" w:val="clear"/>
          </w:tcPr>
          <w:p>
            <w:r/>
            <w:r>
              <w:rPr>
                <w:rFonts w:ascii="Source Sans Pro" w:hAnsi="Source Sans Pro"/>
                <w:sz w:val="18"/>
              </w:rPr>
              <w:t>64.0</w:t>
            </w:r>
          </w:p>
        </w:tc>
        <w:tc>
          <w:tcPr>
            <w:tcW w:type="dxa" w:w="1296"/>
            <w:shd w:fill="f0f5fa" w:val="clear"/>
          </w:tcPr>
          <w:p>
            <w:r/>
            <w:r>
              <w:rPr>
                <w:rFonts w:ascii="Source Sans Pro" w:hAnsi="Source Sans Pro"/>
                <w:sz w:val="18"/>
              </w:rPr>
              <w:t>60.3</w:t>
            </w:r>
          </w:p>
        </w:tc>
        <w:tc>
          <w:tcPr>
            <w:tcW w:type="dxa" w:w="1296"/>
            <w:shd w:fill="f0f5fa" w:val="clear"/>
          </w:tcPr>
          <w:p>
            <w:r/>
            <w:r>
              <w:rPr>
                <w:rFonts w:ascii="Source Sans Pro" w:hAnsi="Source Sans Pro"/>
                <w:sz w:val="18"/>
              </w:rPr>
              <w:t>66.9%</w:t>
            </w:r>
          </w:p>
        </w:tc>
        <w:tc>
          <w:tcPr>
            <w:tcW w:type="dxa" w:w="1296"/>
            <w:shd w:fill="f0f5fa" w:val="clear"/>
          </w:tcPr>
          <w:p>
            <w:r/>
            <w:r>
              <w:rPr>
                <w:rFonts w:ascii="Source Sans Pro" w:hAnsi="Source Sans Pro"/>
                <w:sz w:val="18"/>
              </w:rPr>
              <w:t>24.9%</w:t>
            </w:r>
          </w:p>
        </w:tc>
        <w:tc>
          <w:tcPr>
            <w:tcW w:type="dxa" w:w="1296"/>
            <w:shd w:fill="f0f5fa" w:val="clear"/>
          </w:tcPr>
          <w:p>
            <w:r/>
            <w:r>
              <w:rPr>
                <w:rFonts w:ascii="Source Sans Pro" w:hAnsi="Source Sans Pro"/>
                <w:sz w:val="18"/>
              </w:rPr>
              <w:t>1.2%</w:t>
            </w:r>
          </w:p>
        </w:tc>
      </w:tr>
    </w:tbl>
    <w:p/>
    <w:p>
      <w:r>
        <w:rPr>
          <w:rFonts w:ascii="Source Sans Pro" w:hAnsi="Source Sans Pro"/>
          <w:b/>
          <w:i w:val="0"/>
          <w:color w:val="0B3254"/>
          <w:sz w:val="22"/>
        </w:rPr>
        <w:t>Most common recurring themes in Safety Energy narratives:</w:t>
      </w:r>
    </w:p>
    <w:p>
      <w:pPr>
        <w:pStyle w:val="ListBullet"/>
      </w:pPr>
      <w:r>
        <w:rPr>
          <w:rFonts w:ascii="Source Sans Pro" w:hAnsi="Source Sans Pro"/>
          <w:b w:val="0"/>
          <w:i w:val="0"/>
          <w:color w:val="0B3254"/>
          <w:sz w:val="22"/>
        </w:rPr>
        <w:t>Traffic/MVA: 3219 mentions</w:t>
      </w:r>
    </w:p>
    <w:p>
      <w:pPr>
        <w:pStyle w:val="ListBullet"/>
      </w:pPr>
      <w:r>
        <w:rPr>
          <w:rFonts w:ascii="Source Sans Pro" w:hAnsi="Source Sans Pro"/>
          <w:b w:val="0"/>
          <w:i w:val="0"/>
          <w:color w:val="0B3254"/>
          <w:sz w:val="22"/>
        </w:rPr>
        <w:t>Manual Handling: 2621 mentions</w:t>
      </w:r>
    </w:p>
    <w:p>
      <w:pPr>
        <w:pStyle w:val="ListBullet"/>
      </w:pPr>
      <w:r>
        <w:rPr>
          <w:rFonts w:ascii="Source Sans Pro" w:hAnsi="Source Sans Pro"/>
          <w:b w:val="0"/>
          <w:i w:val="0"/>
          <w:color w:val="0B3254"/>
          <w:sz w:val="22"/>
        </w:rPr>
        <w:t>PPE: 2202 mentions</w:t>
      </w:r>
    </w:p>
    <w:p>
      <w:pPr>
        <w:pStyle w:val="ListBullet"/>
      </w:pPr>
      <w:r>
        <w:rPr>
          <w:rFonts w:ascii="Source Sans Pro" w:hAnsi="Source Sans Pro"/>
          <w:b w:val="0"/>
          <w:i w:val="0"/>
          <w:color w:val="0B3254"/>
          <w:sz w:val="22"/>
        </w:rPr>
        <w:t>Working at Height: 2063 mentions</w:t>
      </w:r>
    </w:p>
    <w:p>
      <w:pPr>
        <w:pStyle w:val="ListBullet"/>
      </w:pPr>
      <w:r>
        <w:rPr>
          <w:rFonts w:ascii="Source Sans Pro" w:hAnsi="Source Sans Pro"/>
          <w:b w:val="0"/>
          <w:i w:val="0"/>
          <w:color w:val="0B3254"/>
          <w:sz w:val="22"/>
        </w:rPr>
        <w:t>CRP Compliance: 1997 mentions</w:t>
      </w:r>
    </w:p>
    <w:p/>
    <w:p>
      <w:pPr>
        <w:pStyle w:val="Heading2"/>
      </w:pPr>
      <w:r>
        <w:t>4.9 CCC / OCCC / LLC Value Signals</w:t>
      </w:r>
    </w:p>
    <w:p>
      <w:r>
        <w:rPr>
          <w:rFonts w:ascii="Source Sans Pro" w:hAnsi="Source Sans Pro"/>
          <w:b w:val="0"/>
          <w:i w:val="0"/>
          <w:color w:val="0B3254"/>
          <w:sz w:val="22"/>
        </w:rPr>
        <w:t>CCC: average quality 28.2/100, average input depth 40.2/100, 28.3% preventive signal, 8.8% reactive signal, 19.1% repetitive signal, 68.3% shallow.</w:t>
      </w:r>
    </w:p>
    <w:p>
      <w:r>
        <w:rPr>
          <w:rFonts w:ascii="Source Sans Pro" w:hAnsi="Source Sans Pro"/>
          <w:b w:val="0"/>
          <w:i w:val="0"/>
          <w:color w:val="64748B"/>
          <w:sz w:val="20"/>
        </w:rPr>
        <w:t>For CCC, input depth vs quality correlation is r = 0.75.</w:t>
      </w:r>
    </w:p>
    <w:p>
      <w:r>
        <w:rPr>
          <w:rFonts w:ascii="Source Sans Pro" w:hAnsi="Source Sans Pro"/>
          <w:b/>
          <w:i w:val="0"/>
          <w:color w:val="64748B"/>
          <w:sz w:val="20"/>
        </w:rPr>
        <w:t>Top CCC focus areas:</w:t>
      </w:r>
    </w:p>
    <w:p>
      <w:pPr>
        <w:pStyle w:val="ListBullet"/>
      </w:pPr>
      <w:r>
        <w:rPr>
          <w:rFonts w:ascii="Source Sans Pro" w:hAnsi="Source Sans Pro"/>
          <w:b w:val="0"/>
          <w:i w:val="0"/>
          <w:color w:val="0B3254"/>
          <w:sz w:val="22"/>
        </w:rPr>
        <w:t>Working Around and Operating Mobile Plant: 1034</w:t>
      </w:r>
    </w:p>
    <w:p>
      <w:pPr>
        <w:pStyle w:val="ListBullet"/>
      </w:pPr>
      <w:r>
        <w:rPr>
          <w:rFonts w:ascii="Source Sans Pro" w:hAnsi="Source Sans Pro"/>
          <w:b w:val="0"/>
          <w:i w:val="0"/>
          <w:color w:val="0B3254"/>
          <w:sz w:val="22"/>
        </w:rPr>
        <w:t>Lifting Operations: 906</w:t>
      </w:r>
    </w:p>
    <w:p>
      <w:pPr>
        <w:pStyle w:val="ListBullet"/>
      </w:pPr>
      <w:r>
        <w:rPr>
          <w:rFonts w:ascii="Source Sans Pro" w:hAnsi="Source Sans Pro"/>
          <w:b w:val="0"/>
          <w:i w:val="0"/>
          <w:color w:val="0B3254"/>
          <w:sz w:val="22"/>
        </w:rPr>
        <w:t>Driving and Remote Travel: 905</w:t>
      </w:r>
    </w:p>
    <w:p>
      <w:pPr>
        <w:pStyle w:val="ListBullet"/>
      </w:pPr>
      <w:r>
        <w:rPr>
          <w:rFonts w:ascii="Source Sans Pro" w:hAnsi="Source Sans Pro"/>
          <w:b w:val="0"/>
          <w:i w:val="0"/>
          <w:color w:val="0B3254"/>
          <w:sz w:val="22"/>
        </w:rPr>
        <w:t>Hazardous Energies: 891</w:t>
      </w:r>
    </w:p>
    <w:p>
      <w:r>
        <w:rPr>
          <w:rFonts w:ascii="Source Sans Pro" w:hAnsi="Source Sans Pro"/>
          <w:b w:val="0"/>
          <w:i w:val="0"/>
          <w:color w:val="0B3254"/>
          <w:sz w:val="22"/>
        </w:rPr>
        <w:t>OCC: average quality 10.4/100, average input depth 34.3/100, 7.3% preventive signal, 4.9% reactive signal, 23.4% repetitive signal, 91.9% shallow.</w:t>
      </w:r>
    </w:p>
    <w:p>
      <w:r>
        <w:rPr>
          <w:rFonts w:ascii="Source Sans Pro" w:hAnsi="Source Sans Pro"/>
          <w:b w:val="0"/>
          <w:i w:val="0"/>
          <w:color w:val="64748B"/>
          <w:sz w:val="20"/>
        </w:rPr>
        <w:t>For OCC, input depth vs quality correlation is r = 0.66.</w:t>
      </w:r>
    </w:p>
    <w:p>
      <w:r>
        <w:rPr>
          <w:rFonts w:ascii="Source Sans Pro" w:hAnsi="Source Sans Pro"/>
          <w:b/>
          <w:i w:val="0"/>
          <w:color w:val="64748B"/>
          <w:sz w:val="20"/>
        </w:rPr>
        <w:t>Top OCC focus areas:</w:t>
      </w:r>
    </w:p>
    <w:p>
      <w:pPr>
        <w:pStyle w:val="ListBullet"/>
      </w:pPr>
      <w:r>
        <w:rPr>
          <w:rFonts w:ascii="Source Sans Pro" w:hAnsi="Source Sans Pro"/>
          <w:b w:val="0"/>
          <w:i w:val="0"/>
          <w:color w:val="0B3254"/>
          <w:sz w:val="22"/>
        </w:rPr>
        <w:t>Manual Handling: 756</w:t>
      </w:r>
    </w:p>
    <w:p>
      <w:pPr>
        <w:pStyle w:val="ListBullet"/>
      </w:pPr>
      <w:r>
        <w:rPr>
          <w:rFonts w:ascii="Source Sans Pro" w:hAnsi="Source Sans Pro"/>
          <w:b w:val="0"/>
          <w:i w:val="0"/>
          <w:color w:val="0B3254"/>
          <w:sz w:val="22"/>
        </w:rPr>
        <w:t>Bunting and Barricades: 535</w:t>
      </w:r>
    </w:p>
    <w:p>
      <w:pPr>
        <w:pStyle w:val="ListBullet"/>
      </w:pPr>
      <w:r>
        <w:rPr>
          <w:rFonts w:ascii="Source Sans Pro" w:hAnsi="Source Sans Pro"/>
          <w:b w:val="0"/>
          <w:i w:val="0"/>
          <w:color w:val="0B3254"/>
          <w:sz w:val="22"/>
        </w:rPr>
        <w:t>HSE Inspections: 512</w:t>
      </w:r>
    </w:p>
    <w:p>
      <w:pPr>
        <w:pStyle w:val="ListBullet"/>
      </w:pPr>
      <w:r>
        <w:rPr>
          <w:rFonts w:ascii="Source Sans Pro" w:hAnsi="Source Sans Pro"/>
          <w:b w:val="0"/>
          <w:i w:val="0"/>
          <w:color w:val="0B3254"/>
          <w:sz w:val="22"/>
        </w:rPr>
        <w:t>Hand and Portable Power Tool: 454</w:t>
      </w:r>
    </w:p>
    <w:p>
      <w:r>
        <w:rPr>
          <w:rFonts w:ascii="Source Sans Pro" w:hAnsi="Source Sans Pro"/>
          <w:b w:val="0"/>
          <w:i w:val="0"/>
          <w:color w:val="0B3254"/>
          <w:sz w:val="22"/>
        </w:rPr>
        <w:t>LLC: average quality 58.2/100, average input depth 55.9/100, 75.7% preventive signal, 12.3% reactive signal, 0.5% repetitive signal, 2.8% shallow.</w:t>
      </w:r>
    </w:p>
    <w:p>
      <w:r>
        <w:rPr>
          <w:rFonts w:ascii="Source Sans Pro" w:hAnsi="Source Sans Pro"/>
          <w:b w:val="0"/>
          <w:i w:val="0"/>
          <w:color w:val="64748B"/>
          <w:sz w:val="20"/>
        </w:rPr>
        <w:t>For LLC, input depth vs quality correlation is r = 0.30.</w:t>
      </w:r>
    </w:p>
    <w:p>
      <w:r>
        <w:rPr>
          <w:rFonts w:ascii="Source Sans Pro" w:hAnsi="Source Sans Pro"/>
          <w:b/>
          <w:i w:val="0"/>
          <w:color w:val="64748B"/>
          <w:sz w:val="20"/>
        </w:rPr>
        <w:t>Top LLC focus areas:</w:t>
      </w:r>
    </w:p>
    <w:p>
      <w:pPr>
        <w:pStyle w:val="ListBullet"/>
      </w:pPr>
      <w:r>
        <w:rPr>
          <w:rFonts w:ascii="Source Sans Pro" w:hAnsi="Source Sans Pro"/>
          <w:b w:val="0"/>
          <w:i w:val="0"/>
          <w:color w:val="0B3254"/>
          <w:sz w:val="22"/>
        </w:rPr>
        <w:t>Leader Learning Conversation: 5954</w:t>
      </w:r>
    </w:p>
    <w:p/>
    <w:p>
      <w:r>
        <w:br w:type="page"/>
      </w:r>
    </w:p>
    <w:p>
      <w:pPr>
        <w:pStyle w:val="Heading1"/>
      </w:pPr>
      <w:r>
        <w:t>5. Effectiveness of Leading Activities</w:t>
      </w:r>
    </w:p>
    <w:p>
      <w:r>
        <w:rPr>
          <w:rFonts w:ascii="Source Sans Pro" w:hAnsi="Source Sans Pro"/>
          <w:b w:val="0"/>
          <w:i w:val="0"/>
          <w:color w:val="0B3254"/>
          <w:sz w:val="22"/>
        </w:rPr>
        <w:t>This section examines whether leading activity patterns appear associated with event outcomes at a business unit and portfolio level. All findings are associative only — correlation does not imply causation.</w:t>
      </w:r>
    </w:p>
    <w:p/>
    <w:p>
      <w:pPr>
        <w:pStyle w:val="Heading2"/>
      </w:pPr>
      <w:r>
        <w:t>5.1 Monthly Activities vs Events Overlay</w:t>
      </w:r>
    </w:p>
    <w:p>
      <w:r>
        <w:drawing>
          <wp:inline xmlns:a="http://schemas.openxmlformats.org/drawingml/2006/main" xmlns:pic="http://schemas.openxmlformats.org/drawingml/2006/picture">
            <wp:extent cx="5486400" cy="1968831"/>
            <wp:docPr id="9" name="Picture 9"/>
            <wp:cNvGraphicFramePr>
              <a:graphicFrameLocks noChangeAspect="1"/>
            </wp:cNvGraphicFramePr>
            <a:graphic>
              <a:graphicData uri="http://schemas.openxmlformats.org/drawingml/2006/picture">
                <pic:pic>
                  <pic:nvPicPr>
                    <pic:cNvPr id="0" name="ch_overlay.png"/>
                    <pic:cNvPicPr/>
                  </pic:nvPicPr>
                  <pic:blipFill>
                    <a:blip r:embed="rId17"/>
                    <a:stretch>
                      <a:fillRect/>
                    </a:stretch>
                  </pic:blipFill>
                  <pic:spPr>
                    <a:xfrm>
                      <a:off x="0" y="0"/>
                      <a:ext cx="5486400" cy="1968831"/>
                    </a:xfrm>
                    <a:prstGeom prst="rect"/>
                  </pic:spPr>
                </pic:pic>
              </a:graphicData>
            </a:graphic>
          </wp:inline>
        </w:drawing>
      </w:r>
    </w:p>
    <w:p/>
    <w:p>
      <w:pPr>
        <w:pStyle w:val="Heading2"/>
      </w:pPr>
      <w:r>
        <w:t>5.2 Statistical Association</w:t>
      </w:r>
    </w:p>
    <w:p>
      <w:r>
        <w:rPr>
          <w:rFonts w:ascii="Source Sans Pro" w:hAnsi="Source Sans Pro"/>
          <w:b w:val="0"/>
          <w:i w:val="0"/>
          <w:color w:val="0B3254"/>
          <w:sz w:val="22"/>
        </w:rPr>
        <w:t>A weak negative association (r = -0.18) was observed between monthly leading-activity counts and monthly event counts across 24 overlapping months. No strong directional association was identified.</w:t>
      </w:r>
    </w:p>
    <w:p/>
    <w:p>
      <w:pPr>
        <w:pStyle w:val="Heading2"/>
      </w:pPr>
      <w:r>
        <w:t>5.3 Activities vs Events by Business Unit</w:t>
      </w:r>
    </w:p>
    <w:p>
      <w:r>
        <w:drawing>
          <wp:inline xmlns:a="http://schemas.openxmlformats.org/drawingml/2006/main" xmlns:pic="http://schemas.openxmlformats.org/drawingml/2006/picture">
            <wp:extent cx="5029200" cy="1637633"/>
            <wp:docPr id="10" name="Picture 10"/>
            <wp:cNvGraphicFramePr>
              <a:graphicFrameLocks noChangeAspect="1"/>
            </wp:cNvGraphicFramePr>
            <a:graphic>
              <a:graphicData uri="http://schemas.openxmlformats.org/drawingml/2006/picture">
                <pic:pic>
                  <pic:nvPicPr>
                    <pic:cNvPr id="0" name="ch_bu_comparison.png"/>
                    <pic:cNvPicPr/>
                  </pic:nvPicPr>
                  <pic:blipFill>
                    <a:blip r:embed="rId18"/>
                    <a:stretch>
                      <a:fillRect/>
                    </a:stretch>
                  </pic:blipFill>
                  <pic:spPr>
                    <a:xfrm>
                      <a:off x="0" y="0"/>
                      <a:ext cx="5029200" cy="1637633"/>
                    </a:xfrm>
                    <a:prstGeom prst="rect"/>
                  </pic:spPr>
                </pic:pic>
              </a:graphicData>
            </a:graphic>
          </wp:inline>
        </w:drawing>
      </w:r>
    </w:p>
    <w:p/>
    <w:tbl>
      <w:tblPr>
        <w:tblStyle w:val="TableGrid"/>
        <w:tblW w:type="auto" w:w="0"/>
        <w:jc w:val="left"/>
        <w:tblLook w:firstColumn="1" w:firstRow="1" w:lastColumn="0" w:lastRow="0" w:noHBand="0" w:noVBand="1" w:val="04A0"/>
      </w:tblPr>
      <w:tblGrid>
        <w:gridCol w:w="3475"/>
        <w:gridCol w:w="3475"/>
        <w:gridCol w:w="3475"/>
      </w:tblGrid>
      <w:tr>
        <w:tc>
          <w:tcPr>
            <w:tcW w:type="dxa" w:w="4320"/>
            <w:shd w:fill="0b3254" w:val="clear"/>
          </w:tcPr>
          <w:p>
            <w:r/>
            <w:r>
              <w:rPr>
                <w:rFonts w:ascii="Source Sans Pro" w:hAnsi="Source Sans Pro"/>
                <w:b/>
                <w:color w:val="FFFFFF"/>
                <w:sz w:val="18"/>
              </w:rPr>
              <w:t>Business Unit</w:t>
            </w:r>
          </w:p>
        </w:tc>
        <w:tc>
          <w:tcPr>
            <w:tcW w:type="dxa" w:w="2880"/>
            <w:shd w:fill="0b3254" w:val="clear"/>
          </w:tcPr>
          <w:p>
            <w:r/>
            <w:r>
              <w:rPr>
                <w:rFonts w:ascii="Source Sans Pro" w:hAnsi="Source Sans Pro"/>
                <w:b/>
                <w:color w:val="FFFFFF"/>
                <w:sz w:val="18"/>
              </w:rPr>
              <w:t>Leading Activities</w:t>
            </w:r>
          </w:p>
        </w:tc>
        <w:tc>
          <w:tcPr>
            <w:tcW w:type="dxa" w:w="2160"/>
            <w:shd w:fill="0b3254" w:val="clear"/>
          </w:tcPr>
          <w:p>
            <w:r/>
            <w:r>
              <w:rPr>
                <w:rFonts w:ascii="Source Sans Pro" w:hAnsi="Source Sans Pro"/>
                <w:b/>
                <w:color w:val="FFFFFF"/>
                <w:sz w:val="18"/>
              </w:rPr>
              <w:t>Events</w:t>
            </w:r>
          </w:p>
        </w:tc>
      </w:tr>
      <w:tr>
        <w:tc>
          <w:tcPr>
            <w:tcW w:type="dxa" w:w="4320"/>
            <w:shd w:fill="f0f5fa" w:val="clear"/>
          </w:tcPr>
          <w:p>
            <w:r/>
            <w:r>
              <w:rPr>
                <w:rFonts w:ascii="Source Sans Pro" w:hAnsi="Source Sans Pro"/>
                <w:sz w:val="18"/>
              </w:rPr>
              <w:t>Resources</w:t>
            </w:r>
          </w:p>
        </w:tc>
        <w:tc>
          <w:tcPr>
            <w:tcW w:type="dxa" w:w="2880"/>
            <w:shd w:fill="f0f5fa" w:val="clear"/>
          </w:tcPr>
          <w:p>
            <w:r/>
            <w:r>
              <w:rPr>
                <w:rFonts w:ascii="Source Sans Pro" w:hAnsi="Source Sans Pro"/>
                <w:sz w:val="18"/>
              </w:rPr>
              <w:t>8871</w:t>
            </w:r>
          </w:p>
        </w:tc>
        <w:tc>
          <w:tcPr>
            <w:tcW w:type="dxa" w:w="2160"/>
            <w:shd w:fill="f0f5fa" w:val="clear"/>
          </w:tcPr>
          <w:p>
            <w:r/>
            <w:r>
              <w:rPr>
                <w:rFonts w:ascii="Source Sans Pro" w:hAnsi="Source Sans Pro"/>
                <w:sz w:val="18"/>
              </w:rPr>
              <w:t>1036</w:t>
            </w:r>
          </w:p>
        </w:tc>
      </w:tr>
      <w:tr>
        <w:tc>
          <w:tcPr>
            <w:tcW w:type="dxa" w:w="4320"/>
            <w:shd w:fill="ffffff" w:val="clear"/>
          </w:tcPr>
          <w:p>
            <w:r/>
            <w:r>
              <w:rPr>
                <w:rFonts w:ascii="Source Sans Pro" w:hAnsi="Source Sans Pro"/>
                <w:sz w:val="18"/>
              </w:rPr>
              <w:t>Energy &amp; Renewables</w:t>
            </w:r>
          </w:p>
        </w:tc>
        <w:tc>
          <w:tcPr>
            <w:tcW w:type="dxa" w:w="2880"/>
            <w:shd w:fill="ffffff" w:val="clear"/>
          </w:tcPr>
          <w:p>
            <w:r/>
            <w:r>
              <w:rPr>
                <w:rFonts w:ascii="Source Sans Pro" w:hAnsi="Source Sans Pro"/>
                <w:sz w:val="18"/>
              </w:rPr>
              <w:t>5215</w:t>
            </w:r>
          </w:p>
        </w:tc>
        <w:tc>
          <w:tcPr>
            <w:tcW w:type="dxa" w:w="2160"/>
            <w:shd w:fill="ffffff" w:val="clear"/>
          </w:tcPr>
          <w:p>
            <w:r/>
            <w:r>
              <w:rPr>
                <w:rFonts w:ascii="Source Sans Pro" w:hAnsi="Source Sans Pro"/>
                <w:sz w:val="18"/>
              </w:rPr>
              <w:t>932</w:t>
            </w:r>
          </w:p>
        </w:tc>
      </w:tr>
      <w:tr>
        <w:tc>
          <w:tcPr>
            <w:tcW w:type="dxa" w:w="4320"/>
            <w:shd w:fill="f0f5fa" w:val="clear"/>
          </w:tcPr>
          <w:p>
            <w:r/>
            <w:r>
              <w:rPr>
                <w:rFonts w:ascii="Source Sans Pro" w:hAnsi="Source Sans Pro"/>
                <w:sz w:val="18"/>
              </w:rPr>
              <w:t>Water &amp; Environmental Services</w:t>
            </w:r>
          </w:p>
        </w:tc>
        <w:tc>
          <w:tcPr>
            <w:tcW w:type="dxa" w:w="2880"/>
            <w:shd w:fill="f0f5fa" w:val="clear"/>
          </w:tcPr>
          <w:p>
            <w:r/>
            <w:r>
              <w:rPr>
                <w:rFonts w:ascii="Source Sans Pro" w:hAnsi="Source Sans Pro"/>
                <w:sz w:val="18"/>
              </w:rPr>
              <w:t>5159</w:t>
            </w:r>
          </w:p>
        </w:tc>
        <w:tc>
          <w:tcPr>
            <w:tcW w:type="dxa" w:w="2160"/>
            <w:shd w:fill="f0f5fa" w:val="clear"/>
          </w:tcPr>
          <w:p>
            <w:r/>
            <w:r>
              <w:rPr>
                <w:rFonts w:ascii="Source Sans Pro" w:hAnsi="Source Sans Pro"/>
                <w:sz w:val="18"/>
              </w:rPr>
              <w:t>650</w:t>
            </w:r>
          </w:p>
        </w:tc>
      </w:tr>
      <w:tr>
        <w:tc>
          <w:tcPr>
            <w:tcW w:type="dxa" w:w="4320"/>
            <w:shd w:fill="ffffff" w:val="clear"/>
          </w:tcPr>
          <w:p>
            <w:r/>
            <w:r>
              <w:rPr>
                <w:rFonts w:ascii="Source Sans Pro" w:hAnsi="Source Sans Pro"/>
                <w:sz w:val="18"/>
              </w:rPr>
              <w:t>Professional Services</w:t>
            </w:r>
          </w:p>
        </w:tc>
        <w:tc>
          <w:tcPr>
            <w:tcW w:type="dxa" w:w="2880"/>
            <w:shd w:fill="ffffff" w:val="clear"/>
          </w:tcPr>
          <w:p>
            <w:r/>
            <w:r>
              <w:rPr>
                <w:rFonts w:ascii="Source Sans Pro" w:hAnsi="Source Sans Pro"/>
                <w:sz w:val="18"/>
              </w:rPr>
              <w:t>186</w:t>
            </w:r>
          </w:p>
        </w:tc>
        <w:tc>
          <w:tcPr>
            <w:tcW w:type="dxa" w:w="2160"/>
            <w:shd w:fill="ffffff" w:val="clear"/>
          </w:tcPr>
          <w:p>
            <w:r/>
            <w:r>
              <w:rPr>
                <w:rFonts w:ascii="Source Sans Pro" w:hAnsi="Source Sans Pro"/>
                <w:sz w:val="18"/>
              </w:rPr>
              <w:t>2</w:t>
            </w:r>
          </w:p>
        </w:tc>
      </w:tr>
      <w:tr>
        <w:tc>
          <w:tcPr>
            <w:tcW w:type="dxa" w:w="4320"/>
            <w:shd w:fill="f0f5fa" w:val="clear"/>
          </w:tcPr>
          <w:p>
            <w:r/>
            <w:r>
              <w:rPr>
                <w:rFonts w:ascii="Source Sans Pro" w:hAnsi="Source Sans Pro"/>
                <w:sz w:val="18"/>
              </w:rPr>
              <w:t>Sector Overhead</w:t>
            </w:r>
          </w:p>
        </w:tc>
        <w:tc>
          <w:tcPr>
            <w:tcW w:type="dxa" w:w="2880"/>
            <w:shd w:fill="f0f5fa" w:val="clear"/>
          </w:tcPr>
          <w:p>
            <w:r/>
            <w:r>
              <w:rPr>
                <w:rFonts w:ascii="Source Sans Pro" w:hAnsi="Source Sans Pro"/>
                <w:sz w:val="18"/>
              </w:rPr>
              <w:t>42</w:t>
            </w:r>
          </w:p>
        </w:tc>
        <w:tc>
          <w:tcPr>
            <w:tcW w:type="dxa" w:w="2160"/>
            <w:shd w:fill="f0f5fa" w:val="clear"/>
          </w:tcPr>
          <w:p>
            <w:r/>
            <w:r>
              <w:rPr>
                <w:rFonts w:ascii="Source Sans Pro" w:hAnsi="Source Sans Pro"/>
                <w:sz w:val="18"/>
              </w:rPr>
              <w:t>1</w:t>
            </w:r>
          </w:p>
        </w:tc>
      </w:tr>
    </w:tbl>
    <w:p/>
    <w:p>
      <w:pPr>
        <w:pStyle w:val="Heading2"/>
      </w:pPr>
      <w:r>
        <w:t>5.4 High Activity / High Events — Pattern of Interest</w:t>
      </w:r>
    </w:p>
    <w:p>
      <w:r>
        <w:rPr>
          <w:rFonts w:ascii="Source Sans Pro" w:hAnsi="Source Sans Pro"/>
          <w:b w:val="0"/>
          <w:i w:val="0"/>
          <w:color w:val="0B3254"/>
          <w:sz w:val="22"/>
        </w:rPr>
        <w:t>The following Business Units recorded both above-median leading-activity volumes and above-median event counts. This may indicate reactive activity patterns where engagement is increasing in response to events rather than preventing them. Further investigation is recommended.</w:t>
      </w:r>
    </w:p>
    <w:p>
      <w:pPr>
        <w:pStyle w:val="ListBullet"/>
      </w:pPr>
      <w:r>
        <w:rPr>
          <w:rFonts w:ascii="Source Sans Pro" w:hAnsi="Source Sans Pro"/>
          <w:b w:val="0"/>
          <w:i w:val="0"/>
          <w:color w:val="0B3254"/>
          <w:sz w:val="22"/>
        </w:rPr>
        <w:t>Resources</w:t>
      </w:r>
    </w:p>
    <w:p>
      <w:pPr>
        <w:pStyle w:val="ListBullet"/>
      </w:pPr>
      <w:r>
        <w:rPr>
          <w:rFonts w:ascii="Source Sans Pro" w:hAnsi="Source Sans Pro"/>
          <w:b w:val="0"/>
          <w:i w:val="0"/>
          <w:color w:val="0B3254"/>
          <w:sz w:val="22"/>
        </w:rPr>
        <w:t>Energy &amp; Renewables</w:t>
      </w:r>
    </w:p>
    <w:p>
      <w:pPr>
        <w:pStyle w:val="ListBullet"/>
      </w:pPr>
      <w:r>
        <w:rPr>
          <w:rFonts w:ascii="Source Sans Pro" w:hAnsi="Source Sans Pro"/>
          <w:b w:val="0"/>
          <w:i w:val="0"/>
          <w:color w:val="0B3254"/>
          <w:sz w:val="22"/>
        </w:rPr>
        <w:t>Water &amp; Environmental Services</w:t>
      </w:r>
    </w:p>
    <w:p/>
    <w:p>
      <w:r>
        <w:rPr>
          <w:rFonts w:ascii="Source Sans Pro" w:hAnsi="Source Sans Pro"/>
          <w:b w:val="0"/>
          <w:i w:val="0"/>
          <w:color w:val="64748B"/>
          <w:sz w:val="20"/>
        </w:rPr>
        <w:t>Effectiveness analysis uses business unit-level and monthly aggregates. All associations are indicative only — correlation does not imply causation.</w:t>
      </w:r>
    </w:p>
    <w:p>
      <w:r>
        <w:br w:type="page"/>
      </w:r>
    </w:p>
    <w:p>
      <w:pPr>
        <w:pStyle w:val="Heading1"/>
      </w:pPr>
      <w:r>
        <w:t>6. At-Risk Behaviours</w:t>
      </w:r>
    </w:p>
    <w:p>
      <w:r>
        <w:rPr>
          <w:rFonts w:ascii="Source Sans Pro" w:hAnsi="Source Sans Pro"/>
          <w:b w:val="0"/>
          <w:i w:val="0"/>
          <w:color w:val="0B3254"/>
          <w:sz w:val="22"/>
        </w:rPr>
        <w:t>At-risk behaviour themes are identified by analysing free-text fields across all three data sources (Events descriptions, LLC conversation notes, and Safety Energy observations) using keyword matching against known risk categories.</w:t>
      </w:r>
    </w:p>
    <w:p/>
    <w:p>
      <w:pPr>
        <w:pStyle w:val="Heading2"/>
      </w:pPr>
      <w:r>
        <w:t>6.1 Combined Theme Frequency</w:t>
      </w:r>
    </w:p>
    <w:p>
      <w:r>
        <w:drawing>
          <wp:inline xmlns:a="http://schemas.openxmlformats.org/drawingml/2006/main" xmlns:pic="http://schemas.openxmlformats.org/drawingml/2006/picture">
            <wp:extent cx="5029200" cy="2475696"/>
            <wp:docPr id="11" name="Picture 11"/>
            <wp:cNvGraphicFramePr>
              <a:graphicFrameLocks noChangeAspect="1"/>
            </wp:cNvGraphicFramePr>
            <a:graphic>
              <a:graphicData uri="http://schemas.openxmlformats.org/drawingml/2006/picture">
                <pic:pic>
                  <pic:nvPicPr>
                    <pic:cNvPr id="0" name="ch_at_risk_themes.png"/>
                    <pic:cNvPicPr/>
                  </pic:nvPicPr>
                  <pic:blipFill>
                    <a:blip r:embed="rId19"/>
                    <a:stretch>
                      <a:fillRect/>
                    </a:stretch>
                  </pic:blipFill>
                  <pic:spPr>
                    <a:xfrm>
                      <a:off x="0" y="0"/>
                      <a:ext cx="5029200" cy="2475696"/>
                    </a:xfrm>
                    <a:prstGeom prst="rect"/>
                  </pic:spPr>
                </pic:pic>
              </a:graphicData>
            </a:graphic>
          </wp:inline>
        </w:drawing>
      </w:r>
    </w:p>
    <w:p/>
    <w:tbl>
      <w:tblPr>
        <w:tblStyle w:val="TableGrid"/>
        <w:tblW w:type="auto" w:w="0"/>
        <w:jc w:val="left"/>
        <w:tblLook w:firstColumn="1" w:firstRow="1" w:lastColumn="0" w:lastRow="0" w:noHBand="0" w:noVBand="1" w:val="04A0"/>
      </w:tblPr>
      <w:tblGrid>
        <w:gridCol w:w="5213"/>
        <w:gridCol w:w="5213"/>
      </w:tblGrid>
      <w:tr>
        <w:tc>
          <w:tcPr>
            <w:tcW w:type="dxa" w:w="5040"/>
            <w:shd w:fill="0b3254" w:val="clear"/>
          </w:tcPr>
          <w:p>
            <w:r/>
            <w:r>
              <w:rPr>
                <w:rFonts w:ascii="Source Sans Pro" w:hAnsi="Source Sans Pro"/>
                <w:b/>
                <w:color w:val="FFFFFF"/>
                <w:sz w:val="18"/>
              </w:rPr>
              <w:t>Risk Theme</w:t>
            </w:r>
          </w:p>
        </w:tc>
        <w:tc>
          <w:tcPr>
            <w:tcW w:type="dxa" w:w="2880"/>
            <w:shd w:fill="0b3254" w:val="clear"/>
          </w:tcPr>
          <w:p>
            <w:r/>
            <w:r>
              <w:rPr>
                <w:rFonts w:ascii="Source Sans Pro" w:hAnsi="Source Sans Pro"/>
                <w:b/>
                <w:color w:val="FFFFFF"/>
                <w:sz w:val="18"/>
              </w:rPr>
              <w:t>Weighted Frequency</w:t>
            </w:r>
          </w:p>
        </w:tc>
      </w:tr>
      <w:tr>
        <w:tc>
          <w:tcPr>
            <w:tcW w:type="dxa" w:w="5040"/>
            <w:shd w:fill="f0f5fa" w:val="clear"/>
          </w:tcPr>
          <w:p>
            <w:r/>
            <w:r>
              <w:rPr>
                <w:rFonts w:ascii="Source Sans Pro" w:hAnsi="Source Sans Pro"/>
                <w:sz w:val="18"/>
              </w:rPr>
              <w:t>Traffic/MVA</w:t>
            </w:r>
          </w:p>
        </w:tc>
        <w:tc>
          <w:tcPr>
            <w:tcW w:type="dxa" w:w="2880"/>
            <w:shd w:fill="f0f5fa" w:val="clear"/>
          </w:tcPr>
          <w:p>
            <w:r/>
            <w:r>
              <w:rPr>
                <w:rFonts w:ascii="Source Sans Pro" w:hAnsi="Source Sans Pro"/>
                <w:sz w:val="18"/>
              </w:rPr>
              <w:t>4776</w:t>
            </w:r>
          </w:p>
        </w:tc>
      </w:tr>
      <w:tr>
        <w:tc>
          <w:tcPr>
            <w:tcW w:type="dxa" w:w="5040"/>
            <w:shd w:fill="ffffff" w:val="clear"/>
          </w:tcPr>
          <w:p>
            <w:r/>
            <w:r>
              <w:rPr>
                <w:rFonts w:ascii="Source Sans Pro" w:hAnsi="Source Sans Pro"/>
                <w:sz w:val="18"/>
              </w:rPr>
              <w:t>PPE</w:t>
            </w:r>
          </w:p>
        </w:tc>
        <w:tc>
          <w:tcPr>
            <w:tcW w:type="dxa" w:w="2880"/>
            <w:shd w:fill="ffffff" w:val="clear"/>
          </w:tcPr>
          <w:p>
            <w:r/>
            <w:r>
              <w:rPr>
                <w:rFonts w:ascii="Source Sans Pro" w:hAnsi="Source Sans Pro"/>
                <w:sz w:val="18"/>
              </w:rPr>
              <w:t>3244</w:t>
            </w:r>
          </w:p>
        </w:tc>
      </w:tr>
      <w:tr>
        <w:tc>
          <w:tcPr>
            <w:tcW w:type="dxa" w:w="5040"/>
            <w:shd w:fill="f0f5fa" w:val="clear"/>
          </w:tcPr>
          <w:p>
            <w:r/>
            <w:r>
              <w:rPr>
                <w:rFonts w:ascii="Source Sans Pro" w:hAnsi="Source Sans Pro"/>
                <w:sz w:val="18"/>
              </w:rPr>
              <w:t>CRP Compliance</w:t>
            </w:r>
          </w:p>
        </w:tc>
        <w:tc>
          <w:tcPr>
            <w:tcW w:type="dxa" w:w="2880"/>
            <w:shd w:fill="f0f5fa" w:val="clear"/>
          </w:tcPr>
          <w:p>
            <w:r/>
            <w:r>
              <w:rPr>
                <w:rFonts w:ascii="Source Sans Pro" w:hAnsi="Source Sans Pro"/>
                <w:sz w:val="18"/>
              </w:rPr>
              <w:t>3233</w:t>
            </w:r>
          </w:p>
        </w:tc>
      </w:tr>
      <w:tr>
        <w:tc>
          <w:tcPr>
            <w:tcW w:type="dxa" w:w="5040"/>
            <w:shd w:fill="ffffff" w:val="clear"/>
          </w:tcPr>
          <w:p>
            <w:r/>
            <w:r>
              <w:rPr>
                <w:rFonts w:ascii="Source Sans Pro" w:hAnsi="Source Sans Pro"/>
                <w:sz w:val="18"/>
              </w:rPr>
              <w:t>Working at Height</w:t>
            </w:r>
          </w:p>
        </w:tc>
        <w:tc>
          <w:tcPr>
            <w:tcW w:type="dxa" w:w="2880"/>
            <w:shd w:fill="ffffff" w:val="clear"/>
          </w:tcPr>
          <w:p>
            <w:r/>
            <w:r>
              <w:rPr>
                <w:rFonts w:ascii="Source Sans Pro" w:hAnsi="Source Sans Pro"/>
                <w:sz w:val="18"/>
              </w:rPr>
              <w:t>2190</w:t>
            </w:r>
          </w:p>
        </w:tc>
      </w:tr>
      <w:tr>
        <w:tc>
          <w:tcPr>
            <w:tcW w:type="dxa" w:w="5040"/>
            <w:shd w:fill="f0f5fa" w:val="clear"/>
          </w:tcPr>
          <w:p>
            <w:r/>
            <w:r>
              <w:rPr>
                <w:rFonts w:ascii="Source Sans Pro" w:hAnsi="Source Sans Pro"/>
                <w:sz w:val="18"/>
              </w:rPr>
              <w:t>Slips/Trips/Falls</w:t>
            </w:r>
          </w:p>
        </w:tc>
        <w:tc>
          <w:tcPr>
            <w:tcW w:type="dxa" w:w="2880"/>
            <w:shd w:fill="f0f5fa" w:val="clear"/>
          </w:tcPr>
          <w:p>
            <w:r/>
            <w:r>
              <w:rPr>
                <w:rFonts w:ascii="Source Sans Pro" w:hAnsi="Source Sans Pro"/>
                <w:sz w:val="18"/>
              </w:rPr>
              <w:t>2054</w:t>
            </w:r>
          </w:p>
        </w:tc>
      </w:tr>
      <w:tr>
        <w:tc>
          <w:tcPr>
            <w:tcW w:type="dxa" w:w="5040"/>
            <w:shd w:fill="ffffff" w:val="clear"/>
          </w:tcPr>
          <w:p>
            <w:r/>
            <w:r>
              <w:rPr>
                <w:rFonts w:ascii="Source Sans Pro" w:hAnsi="Source Sans Pro"/>
                <w:sz w:val="18"/>
              </w:rPr>
              <w:t>Manual Handling</w:t>
            </w:r>
          </w:p>
        </w:tc>
        <w:tc>
          <w:tcPr>
            <w:tcW w:type="dxa" w:w="2880"/>
            <w:shd w:fill="ffffff" w:val="clear"/>
          </w:tcPr>
          <w:p>
            <w:r/>
            <w:r>
              <w:rPr>
                <w:rFonts w:ascii="Source Sans Pro" w:hAnsi="Source Sans Pro"/>
                <w:sz w:val="18"/>
              </w:rPr>
              <w:t>1994</w:t>
            </w:r>
          </w:p>
        </w:tc>
      </w:tr>
      <w:tr>
        <w:tc>
          <w:tcPr>
            <w:tcW w:type="dxa" w:w="5040"/>
            <w:shd w:fill="f0f5fa" w:val="clear"/>
          </w:tcPr>
          <w:p>
            <w:r/>
            <w:r>
              <w:rPr>
                <w:rFonts w:ascii="Source Sans Pro" w:hAnsi="Source Sans Pro"/>
                <w:sz w:val="18"/>
              </w:rPr>
              <w:t>Hazardous Energy</w:t>
            </w:r>
          </w:p>
        </w:tc>
        <w:tc>
          <w:tcPr>
            <w:tcW w:type="dxa" w:w="2880"/>
            <w:shd w:fill="f0f5fa" w:val="clear"/>
          </w:tcPr>
          <w:p>
            <w:r/>
            <w:r>
              <w:rPr>
                <w:rFonts w:ascii="Source Sans Pro" w:hAnsi="Source Sans Pro"/>
                <w:sz w:val="18"/>
              </w:rPr>
              <w:t>1620</w:t>
            </w:r>
          </w:p>
        </w:tc>
      </w:tr>
      <w:tr>
        <w:tc>
          <w:tcPr>
            <w:tcW w:type="dxa" w:w="5040"/>
            <w:shd w:fill="ffffff" w:val="clear"/>
          </w:tcPr>
          <w:p>
            <w:r/>
            <w:r>
              <w:rPr>
                <w:rFonts w:ascii="Source Sans Pro" w:hAnsi="Source Sans Pro"/>
                <w:sz w:val="18"/>
              </w:rPr>
              <w:t>Fatigue</w:t>
            </w:r>
          </w:p>
        </w:tc>
        <w:tc>
          <w:tcPr>
            <w:tcW w:type="dxa" w:w="2880"/>
            <w:shd w:fill="ffffff" w:val="clear"/>
          </w:tcPr>
          <w:p>
            <w:r/>
            <w:r>
              <w:rPr>
                <w:rFonts w:ascii="Source Sans Pro" w:hAnsi="Source Sans Pro"/>
                <w:sz w:val="18"/>
              </w:rPr>
              <w:t>1520</w:t>
            </w:r>
          </w:p>
        </w:tc>
      </w:tr>
      <w:tr>
        <w:tc>
          <w:tcPr>
            <w:tcW w:type="dxa" w:w="5040"/>
            <w:shd w:fill="f0f5fa" w:val="clear"/>
          </w:tcPr>
          <w:p>
            <w:r/>
            <w:r>
              <w:rPr>
                <w:rFonts w:ascii="Source Sans Pro" w:hAnsi="Source Sans Pro"/>
                <w:sz w:val="18"/>
              </w:rPr>
              <w:t>Communication</w:t>
            </w:r>
          </w:p>
        </w:tc>
        <w:tc>
          <w:tcPr>
            <w:tcW w:type="dxa" w:w="2880"/>
            <w:shd w:fill="f0f5fa" w:val="clear"/>
          </w:tcPr>
          <w:p>
            <w:r/>
            <w:r>
              <w:rPr>
                <w:rFonts w:ascii="Source Sans Pro" w:hAnsi="Source Sans Pro"/>
                <w:sz w:val="18"/>
              </w:rPr>
              <w:t>884</w:t>
            </w:r>
          </w:p>
        </w:tc>
      </w:tr>
      <w:tr>
        <w:tc>
          <w:tcPr>
            <w:tcW w:type="dxa" w:w="5040"/>
            <w:shd w:fill="ffffff" w:val="clear"/>
          </w:tcPr>
          <w:p>
            <w:r/>
            <w:r>
              <w:rPr>
                <w:rFonts w:ascii="Source Sans Pro" w:hAnsi="Source Sans Pro"/>
                <w:sz w:val="18"/>
              </w:rPr>
              <w:t>Supervision</w:t>
            </w:r>
          </w:p>
        </w:tc>
        <w:tc>
          <w:tcPr>
            <w:tcW w:type="dxa" w:w="2880"/>
            <w:shd w:fill="ffffff" w:val="clear"/>
          </w:tcPr>
          <w:p>
            <w:r/>
            <w:r>
              <w:rPr>
                <w:rFonts w:ascii="Source Sans Pro" w:hAnsi="Source Sans Pro"/>
                <w:sz w:val="18"/>
              </w:rPr>
              <w:t>522</w:t>
            </w:r>
          </w:p>
        </w:tc>
      </w:tr>
    </w:tbl>
    <w:p/>
    <w:p>
      <w:pPr>
        <w:pStyle w:val="Heading2"/>
      </w:pPr>
      <w:r>
        <w:t>6.2 LLC Conversation Topics vs Event Themes</w:t>
      </w:r>
    </w:p>
    <w:tbl>
      <w:tblPr>
        <w:tblStyle w:val="TableGrid"/>
        <w:tblW w:type="auto" w:w="0"/>
        <w:jc w:val="left"/>
        <w:tblLook w:firstColumn="1" w:firstRow="1" w:lastColumn="0" w:lastRow="0" w:noHBand="0" w:noVBand="1" w:val="04A0"/>
      </w:tblPr>
      <w:tblGrid>
        <w:gridCol w:w="3475"/>
        <w:gridCol w:w="3475"/>
        <w:gridCol w:w="3475"/>
      </w:tblGrid>
      <w:tr>
        <w:tc>
          <w:tcPr>
            <w:tcW w:type="dxa" w:w="4320"/>
            <w:shd w:fill="0b3254" w:val="clear"/>
          </w:tcPr>
          <w:p>
            <w:r/>
            <w:r>
              <w:rPr>
                <w:rFonts w:ascii="Source Sans Pro" w:hAnsi="Source Sans Pro"/>
                <w:b/>
                <w:color w:val="FFFFFF"/>
                <w:sz w:val="18"/>
              </w:rPr>
              <w:t>Risk Theme</w:t>
            </w:r>
          </w:p>
        </w:tc>
        <w:tc>
          <w:tcPr>
            <w:tcW w:type="dxa" w:w="2160"/>
            <w:shd w:fill="0b3254" w:val="clear"/>
          </w:tcPr>
          <w:p>
            <w:r/>
            <w:r>
              <w:rPr>
                <w:rFonts w:ascii="Source Sans Pro" w:hAnsi="Source Sans Pro"/>
                <w:b/>
                <w:color w:val="FFFFFF"/>
                <w:sz w:val="18"/>
              </w:rPr>
              <w:t>LLC Mentions</w:t>
            </w:r>
          </w:p>
        </w:tc>
        <w:tc>
          <w:tcPr>
            <w:tcW w:type="dxa" w:w="2160"/>
            <w:shd w:fill="0b3254" w:val="clear"/>
          </w:tcPr>
          <w:p>
            <w:r/>
            <w:r>
              <w:rPr>
                <w:rFonts w:ascii="Source Sans Pro" w:hAnsi="Source Sans Pro"/>
                <w:b/>
                <w:color w:val="FFFFFF"/>
                <w:sz w:val="18"/>
              </w:rPr>
              <w:t>Event Mentions</w:t>
            </w:r>
          </w:p>
        </w:tc>
      </w:tr>
      <w:tr>
        <w:tc>
          <w:tcPr>
            <w:tcW w:type="dxa" w:w="4320"/>
            <w:shd w:fill="f0f5fa" w:val="clear"/>
          </w:tcPr>
          <w:p>
            <w:r/>
            <w:r>
              <w:rPr>
                <w:rFonts w:ascii="Source Sans Pro" w:hAnsi="Source Sans Pro"/>
                <w:sz w:val="18"/>
              </w:rPr>
              <w:t>CRP Compliance</w:t>
            </w:r>
          </w:p>
        </w:tc>
        <w:tc>
          <w:tcPr>
            <w:tcW w:type="dxa" w:w="2160"/>
            <w:shd w:fill="f0f5fa" w:val="clear"/>
          </w:tcPr>
          <w:p>
            <w:r/>
            <w:r>
              <w:rPr>
                <w:rFonts w:ascii="Source Sans Pro" w:hAnsi="Source Sans Pro"/>
                <w:sz w:val="18"/>
              </w:rPr>
              <w:t>2389</w:t>
            </w:r>
          </w:p>
        </w:tc>
        <w:tc>
          <w:tcPr>
            <w:tcW w:type="dxa" w:w="2160"/>
            <w:shd w:fill="f0f5fa" w:val="clear"/>
          </w:tcPr>
          <w:p>
            <w:r/>
            <w:r>
              <w:rPr>
                <w:rFonts w:ascii="Source Sans Pro" w:hAnsi="Source Sans Pro"/>
                <w:sz w:val="18"/>
              </w:rPr>
              <w:t>112</w:t>
            </w:r>
          </w:p>
        </w:tc>
      </w:tr>
      <w:tr>
        <w:tc>
          <w:tcPr>
            <w:tcW w:type="dxa" w:w="4320"/>
            <w:shd w:fill="ffffff" w:val="clear"/>
          </w:tcPr>
          <w:p>
            <w:r/>
            <w:r>
              <w:rPr>
                <w:rFonts w:ascii="Source Sans Pro" w:hAnsi="Source Sans Pro"/>
                <w:sz w:val="18"/>
              </w:rPr>
              <w:t>Communication</w:t>
            </w:r>
          </w:p>
        </w:tc>
        <w:tc>
          <w:tcPr>
            <w:tcW w:type="dxa" w:w="2160"/>
            <w:shd w:fill="ffffff" w:val="clear"/>
          </w:tcPr>
          <w:p>
            <w:r/>
            <w:r>
              <w:rPr>
                <w:rFonts w:ascii="Source Sans Pro" w:hAnsi="Source Sans Pro"/>
                <w:sz w:val="18"/>
              </w:rPr>
              <w:t>340</w:t>
            </w:r>
          </w:p>
        </w:tc>
        <w:tc>
          <w:tcPr>
            <w:tcW w:type="dxa" w:w="2160"/>
            <w:shd w:fill="ffffff" w:val="clear"/>
          </w:tcPr>
          <w:p>
            <w:r/>
            <w:r>
              <w:rPr>
                <w:rFonts w:ascii="Source Sans Pro" w:hAnsi="Source Sans Pro"/>
                <w:sz w:val="18"/>
              </w:rPr>
              <w:t>102</w:t>
            </w:r>
          </w:p>
        </w:tc>
      </w:tr>
      <w:tr>
        <w:tc>
          <w:tcPr>
            <w:tcW w:type="dxa" w:w="4320"/>
            <w:shd w:fill="f0f5fa" w:val="clear"/>
          </w:tcPr>
          <w:p>
            <w:r/>
            <w:r>
              <w:rPr>
                <w:rFonts w:ascii="Source Sans Pro" w:hAnsi="Source Sans Pro"/>
                <w:sz w:val="18"/>
              </w:rPr>
              <w:t>Fatigue</w:t>
            </w:r>
          </w:p>
        </w:tc>
        <w:tc>
          <w:tcPr>
            <w:tcW w:type="dxa" w:w="2160"/>
            <w:shd w:fill="f0f5fa" w:val="clear"/>
          </w:tcPr>
          <w:p>
            <w:r/>
            <w:r>
              <w:rPr>
                <w:rFonts w:ascii="Source Sans Pro" w:hAnsi="Source Sans Pro"/>
                <w:sz w:val="18"/>
              </w:rPr>
              <w:t>469</w:t>
            </w:r>
          </w:p>
        </w:tc>
        <w:tc>
          <w:tcPr>
            <w:tcW w:type="dxa" w:w="2160"/>
            <w:shd w:fill="f0f5fa" w:val="clear"/>
          </w:tcPr>
          <w:p>
            <w:r/>
            <w:r>
              <w:rPr>
                <w:rFonts w:ascii="Source Sans Pro" w:hAnsi="Source Sans Pro"/>
                <w:sz w:val="18"/>
              </w:rPr>
              <w:t>291</w:t>
            </w:r>
          </w:p>
        </w:tc>
      </w:tr>
      <w:tr>
        <w:tc>
          <w:tcPr>
            <w:tcW w:type="dxa" w:w="4320"/>
            <w:shd w:fill="ffffff" w:val="clear"/>
          </w:tcPr>
          <w:p>
            <w:r/>
            <w:r>
              <w:rPr>
                <w:rFonts w:ascii="Source Sans Pro" w:hAnsi="Source Sans Pro"/>
                <w:sz w:val="18"/>
              </w:rPr>
              <w:t>Hazardous Energy</w:t>
            </w:r>
          </w:p>
        </w:tc>
        <w:tc>
          <w:tcPr>
            <w:tcW w:type="dxa" w:w="2160"/>
            <w:shd w:fill="ffffff" w:val="clear"/>
          </w:tcPr>
          <w:p>
            <w:r/>
            <w:r>
              <w:rPr>
                <w:rFonts w:ascii="Source Sans Pro" w:hAnsi="Source Sans Pro"/>
                <w:sz w:val="18"/>
              </w:rPr>
              <w:t>606</w:t>
            </w:r>
          </w:p>
        </w:tc>
        <w:tc>
          <w:tcPr>
            <w:tcW w:type="dxa" w:w="2160"/>
            <w:shd w:fill="ffffff" w:val="clear"/>
          </w:tcPr>
          <w:p>
            <w:r/>
            <w:r>
              <w:rPr>
                <w:rFonts w:ascii="Source Sans Pro" w:hAnsi="Source Sans Pro"/>
                <w:sz w:val="18"/>
              </w:rPr>
              <w:t>204</w:t>
            </w:r>
          </w:p>
        </w:tc>
      </w:tr>
      <w:tr>
        <w:tc>
          <w:tcPr>
            <w:tcW w:type="dxa" w:w="4320"/>
            <w:shd w:fill="f0f5fa" w:val="clear"/>
          </w:tcPr>
          <w:p>
            <w:r/>
            <w:r>
              <w:rPr>
                <w:rFonts w:ascii="Source Sans Pro" w:hAnsi="Source Sans Pro"/>
                <w:sz w:val="18"/>
              </w:rPr>
              <w:t>Manual Handling</w:t>
            </w:r>
          </w:p>
        </w:tc>
        <w:tc>
          <w:tcPr>
            <w:tcW w:type="dxa" w:w="2160"/>
            <w:shd w:fill="f0f5fa" w:val="clear"/>
          </w:tcPr>
          <w:p>
            <w:r/>
            <w:r>
              <w:rPr>
                <w:rFonts w:ascii="Source Sans Pro" w:hAnsi="Source Sans Pro"/>
                <w:sz w:val="18"/>
              </w:rPr>
              <w:t>1095</w:t>
            </w:r>
          </w:p>
        </w:tc>
        <w:tc>
          <w:tcPr>
            <w:tcW w:type="dxa" w:w="2160"/>
            <w:shd w:fill="f0f5fa" w:val="clear"/>
          </w:tcPr>
          <w:p>
            <w:r/>
            <w:r>
              <w:rPr>
                <w:rFonts w:ascii="Source Sans Pro" w:hAnsi="Source Sans Pro"/>
                <w:sz w:val="18"/>
              </w:rPr>
              <w:t>164</w:t>
            </w:r>
          </w:p>
        </w:tc>
      </w:tr>
      <w:tr>
        <w:tc>
          <w:tcPr>
            <w:tcW w:type="dxa" w:w="4320"/>
            <w:shd w:fill="ffffff" w:val="clear"/>
          </w:tcPr>
          <w:p>
            <w:r/>
            <w:r>
              <w:rPr>
                <w:rFonts w:ascii="Source Sans Pro" w:hAnsi="Source Sans Pro"/>
                <w:sz w:val="18"/>
              </w:rPr>
              <w:t>PPE</w:t>
            </w:r>
          </w:p>
        </w:tc>
        <w:tc>
          <w:tcPr>
            <w:tcW w:type="dxa" w:w="2160"/>
            <w:shd w:fill="ffffff" w:val="clear"/>
          </w:tcPr>
          <w:p>
            <w:r/>
            <w:r>
              <w:rPr>
                <w:rFonts w:ascii="Source Sans Pro" w:hAnsi="Source Sans Pro"/>
                <w:sz w:val="18"/>
              </w:rPr>
              <w:t>784</w:t>
            </w:r>
          </w:p>
        </w:tc>
        <w:tc>
          <w:tcPr>
            <w:tcW w:type="dxa" w:w="2160"/>
            <w:shd w:fill="ffffff" w:val="clear"/>
          </w:tcPr>
          <w:p>
            <w:r/>
            <w:r>
              <w:rPr>
                <w:rFonts w:ascii="Source Sans Pro" w:hAnsi="Source Sans Pro"/>
                <w:sz w:val="18"/>
              </w:rPr>
              <w:t>838</w:t>
            </w:r>
          </w:p>
        </w:tc>
      </w:tr>
      <w:tr>
        <w:tc>
          <w:tcPr>
            <w:tcW w:type="dxa" w:w="4320"/>
            <w:shd w:fill="f0f5fa" w:val="clear"/>
          </w:tcPr>
          <w:p>
            <w:r/>
            <w:r>
              <w:rPr>
                <w:rFonts w:ascii="Source Sans Pro" w:hAnsi="Source Sans Pro"/>
                <w:sz w:val="18"/>
              </w:rPr>
              <w:t>Slips/Trips/Falls</w:t>
            </w:r>
          </w:p>
        </w:tc>
        <w:tc>
          <w:tcPr>
            <w:tcW w:type="dxa" w:w="2160"/>
            <w:shd w:fill="f0f5fa" w:val="clear"/>
          </w:tcPr>
          <w:p>
            <w:r/>
            <w:r>
              <w:rPr>
                <w:rFonts w:ascii="Source Sans Pro" w:hAnsi="Source Sans Pro"/>
                <w:sz w:val="18"/>
              </w:rPr>
              <w:t>532</w:t>
            </w:r>
          </w:p>
        </w:tc>
        <w:tc>
          <w:tcPr>
            <w:tcW w:type="dxa" w:w="2160"/>
            <w:shd w:fill="f0f5fa" w:val="clear"/>
          </w:tcPr>
          <w:p>
            <w:r/>
            <w:r>
              <w:rPr>
                <w:rFonts w:ascii="Source Sans Pro" w:hAnsi="Source Sans Pro"/>
                <w:sz w:val="18"/>
              </w:rPr>
              <w:t>495</w:t>
            </w:r>
          </w:p>
        </w:tc>
      </w:tr>
      <w:tr>
        <w:tc>
          <w:tcPr>
            <w:tcW w:type="dxa" w:w="4320"/>
            <w:shd w:fill="ffffff" w:val="clear"/>
          </w:tcPr>
          <w:p>
            <w:r/>
            <w:r>
              <w:rPr>
                <w:rFonts w:ascii="Source Sans Pro" w:hAnsi="Source Sans Pro"/>
                <w:sz w:val="18"/>
              </w:rPr>
              <w:t>Supervision</w:t>
            </w:r>
          </w:p>
        </w:tc>
        <w:tc>
          <w:tcPr>
            <w:tcW w:type="dxa" w:w="2160"/>
            <w:shd w:fill="ffffff" w:val="clear"/>
          </w:tcPr>
          <w:p>
            <w:r/>
            <w:r>
              <w:rPr>
                <w:rFonts w:ascii="Source Sans Pro" w:hAnsi="Source Sans Pro"/>
                <w:sz w:val="18"/>
              </w:rPr>
              <w:t>216</w:t>
            </w:r>
          </w:p>
        </w:tc>
        <w:tc>
          <w:tcPr>
            <w:tcW w:type="dxa" w:w="2160"/>
            <w:shd w:fill="ffffff" w:val="clear"/>
          </w:tcPr>
          <w:p>
            <w:r/>
            <w:r>
              <w:rPr>
                <w:rFonts w:ascii="Source Sans Pro" w:hAnsi="Source Sans Pro"/>
                <w:sz w:val="18"/>
              </w:rPr>
              <w:t>45</w:t>
            </w:r>
          </w:p>
        </w:tc>
      </w:tr>
      <w:tr>
        <w:tc>
          <w:tcPr>
            <w:tcW w:type="dxa" w:w="4320"/>
            <w:shd w:fill="f0f5fa" w:val="clear"/>
          </w:tcPr>
          <w:p>
            <w:r/>
            <w:r>
              <w:rPr>
                <w:rFonts w:ascii="Source Sans Pro" w:hAnsi="Source Sans Pro"/>
                <w:sz w:val="18"/>
              </w:rPr>
              <w:t>Traffic/MVA</w:t>
            </w:r>
          </w:p>
        </w:tc>
        <w:tc>
          <w:tcPr>
            <w:tcW w:type="dxa" w:w="2160"/>
            <w:shd w:fill="f0f5fa" w:val="clear"/>
          </w:tcPr>
          <w:p>
            <w:r/>
            <w:r>
              <w:rPr>
                <w:rFonts w:ascii="Source Sans Pro" w:hAnsi="Source Sans Pro"/>
                <w:sz w:val="18"/>
              </w:rPr>
              <w:t>1807</w:t>
            </w:r>
          </w:p>
        </w:tc>
        <w:tc>
          <w:tcPr>
            <w:tcW w:type="dxa" w:w="2160"/>
            <w:shd w:fill="f0f5fa" w:val="clear"/>
          </w:tcPr>
          <w:p>
            <w:r/>
            <w:r>
              <w:rPr>
                <w:rFonts w:ascii="Source Sans Pro" w:hAnsi="Source Sans Pro"/>
                <w:sz w:val="18"/>
              </w:rPr>
              <w:t>925</w:t>
            </w:r>
          </w:p>
        </w:tc>
      </w:tr>
      <w:tr>
        <w:tc>
          <w:tcPr>
            <w:tcW w:type="dxa" w:w="4320"/>
            <w:shd w:fill="ffffff" w:val="clear"/>
          </w:tcPr>
          <w:p>
            <w:r/>
            <w:r>
              <w:rPr>
                <w:rFonts w:ascii="Source Sans Pro" w:hAnsi="Source Sans Pro"/>
                <w:sz w:val="18"/>
              </w:rPr>
              <w:t>Working at Height</w:t>
            </w:r>
          </w:p>
        </w:tc>
        <w:tc>
          <w:tcPr>
            <w:tcW w:type="dxa" w:w="2160"/>
            <w:shd w:fill="ffffff" w:val="clear"/>
          </w:tcPr>
          <w:p>
            <w:r/>
            <w:r>
              <w:rPr>
                <w:rFonts w:ascii="Source Sans Pro" w:hAnsi="Source Sans Pro"/>
                <w:sz w:val="18"/>
              </w:rPr>
              <w:t>944</w:t>
            </w:r>
          </w:p>
        </w:tc>
        <w:tc>
          <w:tcPr>
            <w:tcW w:type="dxa" w:w="2160"/>
            <w:shd w:fill="ffffff" w:val="clear"/>
          </w:tcPr>
          <w:p>
            <w:r/>
            <w:r>
              <w:rPr>
                <w:rFonts w:ascii="Source Sans Pro" w:hAnsi="Source Sans Pro"/>
                <w:sz w:val="18"/>
              </w:rPr>
              <w:t>321</w:t>
            </w:r>
          </w:p>
        </w:tc>
      </w:tr>
    </w:tbl>
    <w:p/>
    <w:p>
      <w:pPr>
        <w:pStyle w:val="Heading2"/>
      </w:pPr>
      <w:r>
        <w:t>6.3 Topic Alignment Gaps</w:t>
      </w:r>
    </w:p>
    <w:p>
      <w:r>
        <w:rPr>
          <w:rFonts w:ascii="Source Sans Pro" w:hAnsi="Source Sans Pro"/>
          <w:b w:val="0"/>
          <w:i w:val="0"/>
          <w:color w:val="0B3254"/>
          <w:sz w:val="22"/>
        </w:rPr>
        <w:t>The following risk themes appear among the top event themes but are under-represented in LLC conversation topics. This may indicate a gap between where safety conversations are focused and where actual events are occurring.</w:t>
      </w:r>
    </w:p>
    <w:p>
      <w:pPr>
        <w:pStyle w:val="ListBullet"/>
      </w:pPr>
      <w:r>
        <w:rPr>
          <w:rFonts w:ascii="Source Sans Pro" w:hAnsi="Source Sans Pro"/>
          <w:b w:val="0"/>
          <w:i w:val="0"/>
          <w:color w:val="0B3254"/>
          <w:sz w:val="22"/>
        </w:rPr>
        <w:t>Slips/Trips/Falls</w:t>
      </w:r>
    </w:p>
    <w:p>
      <w:pPr>
        <w:pStyle w:val="ListBullet"/>
      </w:pPr>
      <w:r>
        <w:rPr>
          <w:rFonts w:ascii="Source Sans Pro" w:hAnsi="Source Sans Pro"/>
          <w:b w:val="0"/>
          <w:i w:val="0"/>
          <w:color w:val="0B3254"/>
          <w:sz w:val="22"/>
        </w:rPr>
        <w:t>Fatigue</w:t>
      </w:r>
    </w:p>
    <w:p/>
    <w:p>
      <w:r>
        <w:rPr>
          <w:rFonts w:ascii="Source Sans Pro" w:hAnsi="Source Sans Pro"/>
          <w:b w:val="0"/>
          <w:i w:val="0"/>
          <w:color w:val="64748B"/>
          <w:sz w:val="20"/>
        </w:rPr>
        <w:t>Theme extraction uses keyword matching against free-text fields. Results are indicative; manual review of underlying records is recommended before drawing firm conclusions.</w:t>
      </w:r>
    </w:p>
    <w:p>
      <w:r>
        <w:br w:type="page"/>
      </w:r>
    </w:p>
    <w:p>
      <w:pPr>
        <w:pStyle w:val="Heading1"/>
      </w:pPr>
      <w:r>
        <w:t>7. Relationship Between Safety Energy and Events</w:t>
      </w:r>
    </w:p>
    <w:tbl>
      <w:tblPr>
        <w:tblStyle w:val="TableGrid"/>
        <w:tblW w:type="auto" w:w="0"/>
        <w:jc w:val="left"/>
        <w:tblLook w:firstColumn="1" w:firstRow="1" w:lastColumn="0" w:lastRow="0" w:noHBand="0" w:noVBand="1" w:val="04A0"/>
      </w:tblPr>
      <w:tblGrid>
        <w:gridCol w:w="10426"/>
      </w:tblGrid>
      <w:tr>
        <w:tc>
          <w:tcPr>
            <w:tcW w:type="dxa" w:w="10426"/>
            <w:shd w:fill="f7fbff" w:val="clear"/>
          </w:tcPr>
          <w:p>
            <w:r/>
            <w:r>
              <w:rPr>
                <w:rFonts w:ascii="Source Sans Pro" w:hAnsi="Source Sans Pro"/>
                <w:b/>
                <w:i w:val="0"/>
                <w:color w:val="13B5EA"/>
                <w:sz w:val="22"/>
              </w:rPr>
              <w:t>Coverage vs Outcome</w:t>
            </w:r>
          </w:p>
          <w:p>
            <w:r>
              <w:rPr>
                <w:rFonts w:ascii="Source Sans Pro" w:hAnsi="Source Sans Pro"/>
                <w:b w:val="0"/>
                <w:i w:val="0"/>
                <w:color w:val="0B3254"/>
                <w:sz w:val="20"/>
              </w:rPr>
              <w:t>This section links leading activity coverage to event burden so leaders can see which business units, projects, and locations appear strongest, and which need direct intervention.</w:t>
            </w:r>
          </w:p>
        </w:tc>
      </w:tr>
    </w:tbl>
    <w:p/>
    <w:p>
      <w:pPr>
        <w:pStyle w:val="Heading2"/>
      </w:pPr>
      <w:r>
        <w:t>7.1 Business Unit Comparison</w:t>
      </w:r>
    </w:p>
    <w:tbl>
      <w:tblPr>
        <w:tblStyle w:val="TableGrid"/>
        <w:tblW w:type="auto" w:w="0"/>
        <w:jc w:val="left"/>
        <w:tblLook w:firstColumn="1" w:firstRow="1" w:lastColumn="0" w:lastRow="0" w:noHBand="0" w:noVBand="1" w:val="04A0"/>
      </w:tblPr>
      <w:tblGrid>
        <w:gridCol w:w="2606"/>
        <w:gridCol w:w="2606"/>
        <w:gridCol w:w="2606"/>
        <w:gridCol w:w="2606"/>
      </w:tblGrid>
      <w:tr>
        <w:tc>
          <w:tcPr>
            <w:tcW w:type="dxa" w:w="3600"/>
            <w:shd w:fill="0b3254" w:val="clear"/>
          </w:tcPr>
          <w:p>
            <w:r/>
            <w:r>
              <w:rPr>
                <w:rFonts w:ascii="Source Sans Pro" w:hAnsi="Source Sans Pro"/>
                <w:b/>
                <w:color w:val="FFFFFF"/>
                <w:sz w:val="18"/>
              </w:rPr>
              <w:t>Business Unit</w:t>
            </w:r>
          </w:p>
        </w:tc>
        <w:tc>
          <w:tcPr>
            <w:tcW w:type="dxa" w:w="1728"/>
            <w:shd w:fill="0b3254" w:val="clear"/>
          </w:tcPr>
          <w:p>
            <w:r/>
            <w:r>
              <w:rPr>
                <w:rFonts w:ascii="Source Sans Pro" w:hAnsi="Source Sans Pro"/>
                <w:b/>
                <w:color w:val="FFFFFF"/>
                <w:sz w:val="18"/>
              </w:rPr>
              <w:t>Activities</w:t>
            </w:r>
          </w:p>
        </w:tc>
        <w:tc>
          <w:tcPr>
            <w:tcW w:type="dxa" w:w="1440"/>
            <w:shd w:fill="0b3254" w:val="clear"/>
          </w:tcPr>
          <w:p>
            <w:r/>
            <w:r>
              <w:rPr>
                <w:rFonts w:ascii="Source Sans Pro" w:hAnsi="Source Sans Pro"/>
                <w:b/>
                <w:color w:val="FFFFFF"/>
                <w:sz w:val="18"/>
              </w:rPr>
              <w:t>Events</w:t>
            </w:r>
          </w:p>
        </w:tc>
        <w:tc>
          <w:tcPr>
            <w:tcW w:type="dxa" w:w="2880"/>
            <w:shd w:fill="0b3254" w:val="clear"/>
          </w:tcPr>
          <w:p>
            <w:r/>
            <w:r>
              <w:rPr>
                <w:rFonts w:ascii="Source Sans Pro" w:hAnsi="Source Sans Pro"/>
                <w:b/>
                <w:color w:val="FFFFFF"/>
                <w:sz w:val="18"/>
              </w:rPr>
              <w:t>Activity:Event Ratio</w:t>
            </w:r>
          </w:p>
        </w:tc>
      </w:tr>
      <w:tr>
        <w:tc>
          <w:tcPr>
            <w:tcW w:type="dxa" w:w="3600"/>
            <w:shd w:fill="f0f5fa" w:val="clear"/>
          </w:tcPr>
          <w:p>
            <w:r/>
            <w:r>
              <w:rPr>
                <w:rFonts w:ascii="Source Sans Pro" w:hAnsi="Source Sans Pro"/>
                <w:sz w:val="18"/>
              </w:rPr>
              <w:t>Energy &amp; Renewables</w:t>
            </w:r>
          </w:p>
        </w:tc>
        <w:tc>
          <w:tcPr>
            <w:tcW w:type="dxa" w:w="1728"/>
            <w:shd w:fill="f0f5fa" w:val="clear"/>
          </w:tcPr>
          <w:p>
            <w:r/>
            <w:r>
              <w:rPr>
                <w:rFonts w:ascii="Source Sans Pro" w:hAnsi="Source Sans Pro"/>
                <w:sz w:val="18"/>
              </w:rPr>
              <w:t>5215</w:t>
            </w:r>
          </w:p>
        </w:tc>
        <w:tc>
          <w:tcPr>
            <w:tcW w:type="dxa" w:w="1440"/>
            <w:shd w:fill="f0f5fa" w:val="clear"/>
          </w:tcPr>
          <w:p>
            <w:r/>
            <w:r>
              <w:rPr>
                <w:rFonts w:ascii="Source Sans Pro" w:hAnsi="Source Sans Pro"/>
                <w:sz w:val="18"/>
              </w:rPr>
              <w:t>932</w:t>
            </w:r>
          </w:p>
        </w:tc>
        <w:tc>
          <w:tcPr>
            <w:tcW w:type="dxa" w:w="2880"/>
            <w:shd w:fill="f0f5fa" w:val="clear"/>
          </w:tcPr>
          <w:p>
            <w:r/>
            <w:r>
              <w:rPr>
                <w:rFonts w:ascii="Source Sans Pro" w:hAnsi="Source Sans Pro"/>
                <w:sz w:val="18"/>
              </w:rPr>
              <w:t>5.6</w:t>
            </w:r>
          </w:p>
        </w:tc>
      </w:tr>
      <w:tr>
        <w:tc>
          <w:tcPr>
            <w:tcW w:type="dxa" w:w="3600"/>
            <w:shd w:fill="ffffff" w:val="clear"/>
          </w:tcPr>
          <w:p>
            <w:r/>
            <w:r>
              <w:rPr>
                <w:rFonts w:ascii="Source Sans Pro" w:hAnsi="Source Sans Pro"/>
                <w:sz w:val="18"/>
              </w:rPr>
              <w:t>Professional Services</w:t>
            </w:r>
          </w:p>
        </w:tc>
        <w:tc>
          <w:tcPr>
            <w:tcW w:type="dxa" w:w="1728"/>
            <w:shd w:fill="ffffff" w:val="clear"/>
          </w:tcPr>
          <w:p>
            <w:r/>
            <w:r>
              <w:rPr>
                <w:rFonts w:ascii="Source Sans Pro" w:hAnsi="Source Sans Pro"/>
                <w:sz w:val="18"/>
              </w:rPr>
              <w:t>186</w:t>
            </w:r>
          </w:p>
        </w:tc>
        <w:tc>
          <w:tcPr>
            <w:tcW w:type="dxa" w:w="1440"/>
            <w:shd w:fill="ffffff" w:val="clear"/>
          </w:tcPr>
          <w:p>
            <w:r/>
            <w:r>
              <w:rPr>
                <w:rFonts w:ascii="Source Sans Pro" w:hAnsi="Source Sans Pro"/>
                <w:sz w:val="18"/>
              </w:rPr>
              <w:t>2</w:t>
            </w:r>
          </w:p>
        </w:tc>
        <w:tc>
          <w:tcPr>
            <w:tcW w:type="dxa" w:w="2880"/>
            <w:shd w:fill="ffffff" w:val="clear"/>
          </w:tcPr>
          <w:p>
            <w:r/>
            <w:r>
              <w:rPr>
                <w:rFonts w:ascii="Source Sans Pro" w:hAnsi="Source Sans Pro"/>
                <w:sz w:val="18"/>
              </w:rPr>
              <w:t>93.0</w:t>
            </w:r>
          </w:p>
        </w:tc>
      </w:tr>
      <w:tr>
        <w:tc>
          <w:tcPr>
            <w:tcW w:type="dxa" w:w="3600"/>
            <w:shd w:fill="f0f5fa" w:val="clear"/>
          </w:tcPr>
          <w:p>
            <w:r/>
            <w:r>
              <w:rPr>
                <w:rFonts w:ascii="Source Sans Pro" w:hAnsi="Source Sans Pro"/>
                <w:sz w:val="18"/>
              </w:rPr>
              <w:t>Resources</w:t>
            </w:r>
          </w:p>
        </w:tc>
        <w:tc>
          <w:tcPr>
            <w:tcW w:type="dxa" w:w="1728"/>
            <w:shd w:fill="f0f5fa" w:val="clear"/>
          </w:tcPr>
          <w:p>
            <w:r/>
            <w:r>
              <w:rPr>
                <w:rFonts w:ascii="Source Sans Pro" w:hAnsi="Source Sans Pro"/>
                <w:sz w:val="18"/>
              </w:rPr>
              <w:t>8871</w:t>
            </w:r>
          </w:p>
        </w:tc>
        <w:tc>
          <w:tcPr>
            <w:tcW w:type="dxa" w:w="1440"/>
            <w:shd w:fill="f0f5fa" w:val="clear"/>
          </w:tcPr>
          <w:p>
            <w:r/>
            <w:r>
              <w:rPr>
                <w:rFonts w:ascii="Source Sans Pro" w:hAnsi="Source Sans Pro"/>
                <w:sz w:val="18"/>
              </w:rPr>
              <w:t>1036</w:t>
            </w:r>
          </w:p>
        </w:tc>
        <w:tc>
          <w:tcPr>
            <w:tcW w:type="dxa" w:w="2880"/>
            <w:shd w:fill="f0f5fa" w:val="clear"/>
          </w:tcPr>
          <w:p>
            <w:r/>
            <w:r>
              <w:rPr>
                <w:rFonts w:ascii="Source Sans Pro" w:hAnsi="Source Sans Pro"/>
                <w:sz w:val="18"/>
              </w:rPr>
              <w:t>8.6</w:t>
            </w:r>
          </w:p>
        </w:tc>
      </w:tr>
      <w:tr>
        <w:tc>
          <w:tcPr>
            <w:tcW w:type="dxa" w:w="3600"/>
            <w:shd w:fill="ffffff" w:val="clear"/>
          </w:tcPr>
          <w:p>
            <w:r/>
            <w:r>
              <w:rPr>
                <w:rFonts w:ascii="Source Sans Pro" w:hAnsi="Source Sans Pro"/>
                <w:sz w:val="18"/>
              </w:rPr>
              <w:t>Sector Overhead</w:t>
            </w:r>
          </w:p>
        </w:tc>
        <w:tc>
          <w:tcPr>
            <w:tcW w:type="dxa" w:w="1728"/>
            <w:shd w:fill="ffffff" w:val="clear"/>
          </w:tcPr>
          <w:p>
            <w:r/>
            <w:r>
              <w:rPr>
                <w:rFonts w:ascii="Source Sans Pro" w:hAnsi="Source Sans Pro"/>
                <w:sz w:val="18"/>
              </w:rPr>
              <w:t>42</w:t>
            </w:r>
          </w:p>
        </w:tc>
        <w:tc>
          <w:tcPr>
            <w:tcW w:type="dxa" w:w="1440"/>
            <w:shd w:fill="ffffff" w:val="clear"/>
          </w:tcPr>
          <w:p>
            <w:r/>
            <w:r>
              <w:rPr>
                <w:rFonts w:ascii="Source Sans Pro" w:hAnsi="Source Sans Pro"/>
                <w:sz w:val="18"/>
              </w:rPr>
              <w:t>1</w:t>
            </w:r>
          </w:p>
        </w:tc>
        <w:tc>
          <w:tcPr>
            <w:tcW w:type="dxa" w:w="2880"/>
            <w:shd w:fill="ffffff" w:val="clear"/>
          </w:tcPr>
          <w:p>
            <w:r/>
            <w:r>
              <w:rPr>
                <w:rFonts w:ascii="Source Sans Pro" w:hAnsi="Source Sans Pro"/>
                <w:sz w:val="18"/>
              </w:rPr>
              <w:t>42.0</w:t>
            </w:r>
          </w:p>
        </w:tc>
      </w:tr>
      <w:tr>
        <w:tc>
          <w:tcPr>
            <w:tcW w:type="dxa" w:w="3600"/>
            <w:shd w:fill="f0f5fa" w:val="clear"/>
          </w:tcPr>
          <w:p>
            <w:r/>
            <w:r>
              <w:rPr>
                <w:rFonts w:ascii="Source Sans Pro" w:hAnsi="Source Sans Pro"/>
                <w:sz w:val="18"/>
              </w:rPr>
              <w:t>Water &amp; Environmental Services</w:t>
            </w:r>
          </w:p>
        </w:tc>
        <w:tc>
          <w:tcPr>
            <w:tcW w:type="dxa" w:w="1728"/>
            <w:shd w:fill="f0f5fa" w:val="clear"/>
          </w:tcPr>
          <w:p>
            <w:r/>
            <w:r>
              <w:rPr>
                <w:rFonts w:ascii="Source Sans Pro" w:hAnsi="Source Sans Pro"/>
                <w:sz w:val="18"/>
              </w:rPr>
              <w:t>5159</w:t>
            </w:r>
          </w:p>
        </w:tc>
        <w:tc>
          <w:tcPr>
            <w:tcW w:type="dxa" w:w="1440"/>
            <w:shd w:fill="f0f5fa" w:val="clear"/>
          </w:tcPr>
          <w:p>
            <w:r/>
            <w:r>
              <w:rPr>
                <w:rFonts w:ascii="Source Sans Pro" w:hAnsi="Source Sans Pro"/>
                <w:sz w:val="18"/>
              </w:rPr>
              <w:t>650</w:t>
            </w:r>
          </w:p>
        </w:tc>
        <w:tc>
          <w:tcPr>
            <w:tcW w:type="dxa" w:w="2880"/>
            <w:shd w:fill="f0f5fa" w:val="clear"/>
          </w:tcPr>
          <w:p>
            <w:r/>
            <w:r>
              <w:rPr>
                <w:rFonts w:ascii="Source Sans Pro" w:hAnsi="Source Sans Pro"/>
                <w:sz w:val="18"/>
              </w:rPr>
              <w:t>7.9</w:t>
            </w:r>
          </w:p>
        </w:tc>
      </w:tr>
    </w:tbl>
    <w:p/>
    <w:p>
      <w:pPr>
        <w:pStyle w:val="Heading2"/>
      </w:pPr>
      <w:r>
        <w:t>7.2 Project Performance Signals</w:t>
      </w:r>
    </w:p>
    <w:p>
      <w:r>
        <w:rPr>
          <w:rFonts w:ascii="Source Sans Pro" w:hAnsi="Source Sans Pro"/>
          <w:b w:val="0"/>
          <w:i w:val="0"/>
          <w:color w:val="0B3254"/>
          <w:sz w:val="22"/>
        </w:rPr>
        <w:t>These project comparisons use recorded Safety Energy activity against recorded events. They are intended as directional signals only, not league tables.</w:t>
      </w:r>
    </w:p>
    <w:tbl>
      <w:tblPr>
        <w:tblStyle w:val="TableGrid"/>
        <w:tblW w:type="auto" w:w="0"/>
        <w:jc w:val="left"/>
        <w:tblLook w:firstColumn="1" w:firstRow="1" w:lastColumn="0" w:lastRow="0" w:noHBand="0" w:noVBand="1" w:val="04A0"/>
      </w:tblPr>
      <w:tblGrid>
        <w:gridCol w:w="2085"/>
        <w:gridCol w:w="2085"/>
        <w:gridCol w:w="2085"/>
        <w:gridCol w:w="2085"/>
        <w:gridCol w:w="2085"/>
      </w:tblGrid>
      <w:tr>
        <w:tc>
          <w:tcPr>
            <w:tcW w:type="dxa" w:w="4032"/>
            <w:shd w:fill="0b3254" w:val="clear"/>
          </w:tcPr>
          <w:p>
            <w:r/>
            <w:r>
              <w:rPr>
                <w:rFonts w:ascii="Source Sans Pro" w:hAnsi="Source Sans Pro"/>
                <w:b/>
                <w:color w:val="FFFFFF"/>
                <w:sz w:val="18"/>
              </w:rPr>
              <w:t>Project</w:t>
            </w:r>
          </w:p>
        </w:tc>
        <w:tc>
          <w:tcPr>
            <w:tcW w:type="dxa" w:w="1440"/>
            <w:shd w:fill="0b3254" w:val="clear"/>
          </w:tcPr>
          <w:p>
            <w:r/>
            <w:r>
              <w:rPr>
                <w:rFonts w:ascii="Source Sans Pro" w:hAnsi="Source Sans Pro"/>
                <w:b/>
                <w:color w:val="FFFFFF"/>
                <w:sz w:val="18"/>
              </w:rPr>
              <w:t>Activities</w:t>
            </w:r>
          </w:p>
        </w:tc>
        <w:tc>
          <w:tcPr>
            <w:tcW w:type="dxa" w:w="1296"/>
            <w:shd w:fill="0b3254" w:val="clear"/>
          </w:tcPr>
          <w:p>
            <w:r/>
            <w:r>
              <w:rPr>
                <w:rFonts w:ascii="Source Sans Pro" w:hAnsi="Source Sans Pro"/>
                <w:b/>
                <w:color w:val="FFFFFF"/>
                <w:sz w:val="18"/>
              </w:rPr>
              <w:t>Events</w:t>
            </w:r>
          </w:p>
        </w:tc>
        <w:tc>
          <w:tcPr>
            <w:tcW w:type="dxa" w:w="1296"/>
            <w:shd w:fill="0b3254" w:val="clear"/>
          </w:tcPr>
          <w:p>
            <w:r/>
            <w:r>
              <w:rPr>
                <w:rFonts w:ascii="Source Sans Pro" w:hAnsi="Source Sans Pro"/>
                <w:b/>
                <w:color w:val="FFFFFF"/>
                <w:sz w:val="18"/>
              </w:rPr>
              <w:t>Serious</w:t>
            </w:r>
          </w:p>
        </w:tc>
        <w:tc>
          <w:tcPr>
            <w:tcW w:type="dxa" w:w="1872"/>
            <w:shd w:fill="0b3254" w:val="clear"/>
          </w:tcPr>
          <w:p>
            <w:r/>
            <w:r>
              <w:rPr>
                <w:rFonts w:ascii="Source Sans Pro" w:hAnsi="Source Sans Pro"/>
                <w:b/>
                <w:color w:val="FFFFFF"/>
                <w:sz w:val="18"/>
              </w:rPr>
              <w:t>Activity:Event</w:t>
            </w:r>
          </w:p>
        </w:tc>
      </w:tr>
      <w:tr>
        <w:tc>
          <w:tcPr>
            <w:tcW w:type="dxa" w:w="4032"/>
            <w:shd w:fill="f0f5fa" w:val="clear"/>
          </w:tcPr>
          <w:p>
            <w:r/>
            <w:r>
              <w:rPr>
                <w:rFonts w:ascii="Source Sans Pro" w:hAnsi="Source Sans Pro"/>
                <w:sz w:val="18"/>
              </w:rPr>
              <w:t>Confluence</w:t>
            </w:r>
          </w:p>
        </w:tc>
        <w:tc>
          <w:tcPr>
            <w:tcW w:type="dxa" w:w="1440"/>
            <w:shd w:fill="f0f5fa" w:val="clear"/>
          </w:tcPr>
          <w:p>
            <w:r/>
            <w:r>
              <w:rPr>
                <w:rFonts w:ascii="Source Sans Pro" w:hAnsi="Source Sans Pro"/>
                <w:sz w:val="18"/>
              </w:rPr>
              <w:t>106</w:t>
            </w:r>
          </w:p>
        </w:tc>
        <w:tc>
          <w:tcPr>
            <w:tcW w:type="dxa" w:w="1296"/>
            <w:shd w:fill="f0f5fa" w:val="clear"/>
          </w:tcPr>
          <w:p>
            <w:r/>
            <w:r>
              <w:rPr>
                <w:rFonts w:ascii="Source Sans Pro" w:hAnsi="Source Sans Pro"/>
                <w:sz w:val="18"/>
              </w:rPr>
              <w:t>0</w:t>
            </w:r>
          </w:p>
        </w:tc>
        <w:tc>
          <w:tcPr>
            <w:tcW w:type="dxa" w:w="1296"/>
            <w:shd w:fill="f0f5fa" w:val="clear"/>
          </w:tcPr>
          <w:p>
            <w:r/>
            <w:r>
              <w:rPr>
                <w:rFonts w:ascii="Source Sans Pro" w:hAnsi="Source Sans Pro"/>
                <w:sz w:val="18"/>
              </w:rPr>
              <w:t>0</w:t>
            </w:r>
          </w:p>
        </w:tc>
        <w:tc>
          <w:tcPr>
            <w:tcW w:type="dxa" w:w="1872"/>
            <w:shd w:fill="f0f5fa" w:val="clear"/>
          </w:tcPr>
          <w:p>
            <w:r/>
            <w:r>
              <w:rPr>
                <w:rFonts w:ascii="Source Sans Pro" w:hAnsi="Source Sans Pro"/>
                <w:sz w:val="18"/>
              </w:rPr>
              <w:t>—</w:t>
            </w:r>
          </w:p>
        </w:tc>
      </w:tr>
      <w:tr>
        <w:tc>
          <w:tcPr>
            <w:tcW w:type="dxa" w:w="4032"/>
            <w:shd w:fill="ffffff" w:val="clear"/>
          </w:tcPr>
          <w:p>
            <w:r/>
            <w:r>
              <w:rPr>
                <w:rFonts w:ascii="Source Sans Pro" w:hAnsi="Source Sans Pro"/>
                <w:sz w:val="18"/>
              </w:rPr>
              <w:t>GCIS</w:t>
            </w:r>
          </w:p>
        </w:tc>
        <w:tc>
          <w:tcPr>
            <w:tcW w:type="dxa" w:w="1440"/>
            <w:shd w:fill="ffffff" w:val="clear"/>
          </w:tcPr>
          <w:p>
            <w:r/>
            <w:r>
              <w:rPr>
                <w:rFonts w:ascii="Source Sans Pro" w:hAnsi="Source Sans Pro"/>
                <w:sz w:val="18"/>
              </w:rPr>
              <w:t>39</w:t>
            </w:r>
          </w:p>
        </w:tc>
        <w:tc>
          <w:tcPr>
            <w:tcW w:type="dxa" w:w="1296"/>
            <w:shd w:fill="ffffff" w:val="clear"/>
          </w:tcPr>
          <w:p>
            <w:r/>
            <w:r>
              <w:rPr>
                <w:rFonts w:ascii="Source Sans Pro" w:hAnsi="Source Sans Pro"/>
                <w:sz w:val="18"/>
              </w:rPr>
              <w:t>0</w:t>
            </w:r>
          </w:p>
        </w:tc>
        <w:tc>
          <w:tcPr>
            <w:tcW w:type="dxa" w:w="1296"/>
            <w:shd w:fill="ffffff" w:val="clear"/>
          </w:tcPr>
          <w:p>
            <w:r/>
            <w:r>
              <w:rPr>
                <w:rFonts w:ascii="Source Sans Pro" w:hAnsi="Source Sans Pro"/>
                <w:sz w:val="18"/>
              </w:rPr>
              <w:t>0</w:t>
            </w:r>
          </w:p>
        </w:tc>
        <w:tc>
          <w:tcPr>
            <w:tcW w:type="dxa" w:w="1872"/>
            <w:shd w:fill="ffffff" w:val="clear"/>
          </w:tcPr>
          <w:p>
            <w:r/>
            <w:r>
              <w:rPr>
                <w:rFonts w:ascii="Source Sans Pro" w:hAnsi="Source Sans Pro"/>
                <w:sz w:val="18"/>
              </w:rPr>
              <w:t>—</w:t>
            </w:r>
          </w:p>
        </w:tc>
      </w:tr>
      <w:tr>
        <w:tc>
          <w:tcPr>
            <w:tcW w:type="dxa" w:w="4032"/>
            <w:shd w:fill="f0f5fa" w:val="clear"/>
          </w:tcPr>
          <w:p>
            <w:r/>
            <w:r>
              <w:rPr>
                <w:rFonts w:ascii="Source Sans Pro" w:hAnsi="Source Sans Pro"/>
                <w:sz w:val="18"/>
              </w:rPr>
              <w:t>QGC</w:t>
            </w:r>
          </w:p>
        </w:tc>
        <w:tc>
          <w:tcPr>
            <w:tcW w:type="dxa" w:w="1440"/>
            <w:shd w:fill="f0f5fa" w:val="clear"/>
          </w:tcPr>
          <w:p>
            <w:r/>
            <w:r>
              <w:rPr>
                <w:rFonts w:ascii="Source Sans Pro" w:hAnsi="Source Sans Pro"/>
                <w:sz w:val="18"/>
              </w:rPr>
              <w:t>34</w:t>
            </w:r>
          </w:p>
        </w:tc>
        <w:tc>
          <w:tcPr>
            <w:tcW w:type="dxa" w:w="1296"/>
            <w:shd w:fill="f0f5fa" w:val="clear"/>
          </w:tcPr>
          <w:p>
            <w:r/>
            <w:r>
              <w:rPr>
                <w:rFonts w:ascii="Source Sans Pro" w:hAnsi="Source Sans Pro"/>
                <w:sz w:val="18"/>
              </w:rPr>
              <w:t>0</w:t>
            </w:r>
          </w:p>
        </w:tc>
        <w:tc>
          <w:tcPr>
            <w:tcW w:type="dxa" w:w="1296"/>
            <w:shd w:fill="f0f5fa" w:val="clear"/>
          </w:tcPr>
          <w:p>
            <w:r/>
            <w:r>
              <w:rPr>
                <w:rFonts w:ascii="Source Sans Pro" w:hAnsi="Source Sans Pro"/>
                <w:sz w:val="18"/>
              </w:rPr>
              <w:t>0</w:t>
            </w:r>
          </w:p>
        </w:tc>
        <w:tc>
          <w:tcPr>
            <w:tcW w:type="dxa" w:w="1872"/>
            <w:shd w:fill="f0f5fa" w:val="clear"/>
          </w:tcPr>
          <w:p>
            <w:r/>
            <w:r>
              <w:rPr>
                <w:rFonts w:ascii="Source Sans Pro" w:hAnsi="Source Sans Pro"/>
                <w:sz w:val="18"/>
              </w:rPr>
              <w:t>—</w:t>
            </w:r>
          </w:p>
        </w:tc>
      </w:tr>
      <w:tr>
        <w:tc>
          <w:tcPr>
            <w:tcW w:type="dxa" w:w="4032"/>
            <w:shd w:fill="ffffff" w:val="clear"/>
          </w:tcPr>
          <w:p>
            <w:r/>
            <w:r>
              <w:rPr>
                <w:rFonts w:ascii="Source Sans Pro" w:hAnsi="Source Sans Pro"/>
                <w:sz w:val="18"/>
              </w:rPr>
              <w:t>IT</w:t>
            </w:r>
          </w:p>
        </w:tc>
        <w:tc>
          <w:tcPr>
            <w:tcW w:type="dxa" w:w="1440"/>
            <w:shd w:fill="ffffff" w:val="clear"/>
          </w:tcPr>
          <w:p>
            <w:r/>
            <w:r>
              <w:rPr>
                <w:rFonts w:ascii="Source Sans Pro" w:hAnsi="Source Sans Pro"/>
                <w:sz w:val="18"/>
              </w:rPr>
              <w:t>26</w:t>
            </w:r>
          </w:p>
        </w:tc>
        <w:tc>
          <w:tcPr>
            <w:tcW w:type="dxa" w:w="1296"/>
            <w:shd w:fill="ffffff" w:val="clear"/>
          </w:tcPr>
          <w:p>
            <w:r/>
            <w:r>
              <w:rPr>
                <w:rFonts w:ascii="Source Sans Pro" w:hAnsi="Source Sans Pro"/>
                <w:sz w:val="18"/>
              </w:rPr>
              <w:t>0</w:t>
            </w:r>
          </w:p>
        </w:tc>
        <w:tc>
          <w:tcPr>
            <w:tcW w:type="dxa" w:w="1296"/>
            <w:shd w:fill="ffffff" w:val="clear"/>
          </w:tcPr>
          <w:p>
            <w:r/>
            <w:r>
              <w:rPr>
                <w:rFonts w:ascii="Source Sans Pro" w:hAnsi="Source Sans Pro"/>
                <w:sz w:val="18"/>
              </w:rPr>
              <w:t>0</w:t>
            </w:r>
          </w:p>
        </w:tc>
        <w:tc>
          <w:tcPr>
            <w:tcW w:type="dxa" w:w="1872"/>
            <w:shd w:fill="ffffff" w:val="clear"/>
          </w:tcPr>
          <w:p>
            <w:r/>
            <w:r>
              <w:rPr>
                <w:rFonts w:ascii="Source Sans Pro" w:hAnsi="Source Sans Pro"/>
                <w:sz w:val="18"/>
              </w:rPr>
              <w:t>—</w:t>
            </w:r>
          </w:p>
        </w:tc>
      </w:tr>
      <w:tr>
        <w:tc>
          <w:tcPr>
            <w:tcW w:type="dxa" w:w="4032"/>
            <w:shd w:fill="f0f5fa" w:val="clear"/>
          </w:tcPr>
          <w:p>
            <w:r/>
            <w:r>
              <w:rPr>
                <w:rFonts w:ascii="Source Sans Pro" w:hAnsi="Source Sans Pro"/>
                <w:sz w:val="18"/>
              </w:rPr>
              <w:t>Ad Hoc Well Servicing</w:t>
            </w:r>
          </w:p>
        </w:tc>
        <w:tc>
          <w:tcPr>
            <w:tcW w:type="dxa" w:w="1440"/>
            <w:shd w:fill="f0f5fa" w:val="clear"/>
          </w:tcPr>
          <w:p>
            <w:r/>
            <w:r>
              <w:rPr>
                <w:rFonts w:ascii="Source Sans Pro" w:hAnsi="Source Sans Pro"/>
                <w:sz w:val="18"/>
              </w:rPr>
              <w:t>24</w:t>
            </w:r>
          </w:p>
        </w:tc>
        <w:tc>
          <w:tcPr>
            <w:tcW w:type="dxa" w:w="1296"/>
            <w:shd w:fill="f0f5fa" w:val="clear"/>
          </w:tcPr>
          <w:p>
            <w:r/>
            <w:r>
              <w:rPr>
                <w:rFonts w:ascii="Source Sans Pro" w:hAnsi="Source Sans Pro"/>
                <w:sz w:val="18"/>
              </w:rPr>
              <w:t>0</w:t>
            </w:r>
          </w:p>
        </w:tc>
        <w:tc>
          <w:tcPr>
            <w:tcW w:type="dxa" w:w="1296"/>
            <w:shd w:fill="f0f5fa" w:val="clear"/>
          </w:tcPr>
          <w:p>
            <w:r/>
            <w:r>
              <w:rPr>
                <w:rFonts w:ascii="Source Sans Pro" w:hAnsi="Source Sans Pro"/>
                <w:sz w:val="18"/>
              </w:rPr>
              <w:t>0</w:t>
            </w:r>
          </w:p>
        </w:tc>
        <w:tc>
          <w:tcPr>
            <w:tcW w:type="dxa" w:w="1872"/>
            <w:shd w:fill="f0f5fa" w:val="clear"/>
          </w:tcPr>
          <w:p>
            <w:r/>
            <w:r>
              <w:rPr>
                <w:rFonts w:ascii="Source Sans Pro" w:hAnsi="Source Sans Pro"/>
                <w:sz w:val="18"/>
              </w:rPr>
              <w:t>—</w:t>
            </w:r>
          </w:p>
        </w:tc>
      </w:tr>
      <w:tr>
        <w:tc>
          <w:tcPr>
            <w:tcW w:type="dxa" w:w="4032"/>
            <w:shd w:fill="ffffff" w:val="clear"/>
          </w:tcPr>
          <w:p>
            <w:r/>
            <w:r>
              <w:rPr>
                <w:rFonts w:ascii="Source Sans Pro" w:hAnsi="Source Sans Pro"/>
                <w:sz w:val="18"/>
              </w:rPr>
              <w:t>Aviation</w:t>
            </w:r>
          </w:p>
        </w:tc>
        <w:tc>
          <w:tcPr>
            <w:tcW w:type="dxa" w:w="1440"/>
            <w:shd w:fill="ffffff" w:val="clear"/>
          </w:tcPr>
          <w:p>
            <w:r/>
            <w:r>
              <w:rPr>
                <w:rFonts w:ascii="Source Sans Pro" w:hAnsi="Source Sans Pro"/>
                <w:sz w:val="18"/>
              </w:rPr>
              <w:t>12</w:t>
            </w:r>
          </w:p>
        </w:tc>
        <w:tc>
          <w:tcPr>
            <w:tcW w:type="dxa" w:w="1296"/>
            <w:shd w:fill="ffffff" w:val="clear"/>
          </w:tcPr>
          <w:p>
            <w:r/>
            <w:r>
              <w:rPr>
                <w:rFonts w:ascii="Source Sans Pro" w:hAnsi="Source Sans Pro"/>
                <w:sz w:val="18"/>
              </w:rPr>
              <w:t>0</w:t>
            </w:r>
          </w:p>
        </w:tc>
        <w:tc>
          <w:tcPr>
            <w:tcW w:type="dxa" w:w="1296"/>
            <w:shd w:fill="ffffff" w:val="clear"/>
          </w:tcPr>
          <w:p>
            <w:r/>
            <w:r>
              <w:rPr>
                <w:rFonts w:ascii="Source Sans Pro" w:hAnsi="Source Sans Pro"/>
                <w:sz w:val="18"/>
              </w:rPr>
              <w:t>0</w:t>
            </w:r>
          </w:p>
        </w:tc>
        <w:tc>
          <w:tcPr>
            <w:tcW w:type="dxa" w:w="1872"/>
            <w:shd w:fill="ffffff" w:val="clear"/>
          </w:tcPr>
          <w:p>
            <w:r/>
            <w:r>
              <w:rPr>
                <w:rFonts w:ascii="Source Sans Pro" w:hAnsi="Source Sans Pro"/>
                <w:sz w:val="18"/>
              </w:rPr>
              <w:t>—</w:t>
            </w:r>
          </w:p>
        </w:tc>
      </w:tr>
      <w:tr>
        <w:tc>
          <w:tcPr>
            <w:tcW w:type="dxa" w:w="4032"/>
            <w:shd w:fill="f0f5fa" w:val="clear"/>
          </w:tcPr>
          <w:p>
            <w:r/>
            <w:r>
              <w:rPr>
                <w:rFonts w:ascii="Source Sans Pro" w:hAnsi="Source Sans Pro"/>
                <w:sz w:val="18"/>
              </w:rPr>
              <w:t>Energy Projects</w:t>
            </w:r>
          </w:p>
        </w:tc>
        <w:tc>
          <w:tcPr>
            <w:tcW w:type="dxa" w:w="1440"/>
            <w:shd w:fill="f0f5fa" w:val="clear"/>
          </w:tcPr>
          <w:p>
            <w:r/>
            <w:r>
              <w:rPr>
                <w:rFonts w:ascii="Source Sans Pro" w:hAnsi="Source Sans Pro"/>
                <w:sz w:val="18"/>
              </w:rPr>
              <w:t>37</w:t>
            </w:r>
          </w:p>
        </w:tc>
        <w:tc>
          <w:tcPr>
            <w:tcW w:type="dxa" w:w="1296"/>
            <w:shd w:fill="f0f5fa" w:val="clear"/>
          </w:tcPr>
          <w:p>
            <w:r/>
            <w:r>
              <w:rPr>
                <w:rFonts w:ascii="Source Sans Pro" w:hAnsi="Source Sans Pro"/>
                <w:sz w:val="18"/>
              </w:rPr>
              <w:t>1</w:t>
            </w:r>
          </w:p>
        </w:tc>
        <w:tc>
          <w:tcPr>
            <w:tcW w:type="dxa" w:w="1296"/>
            <w:shd w:fill="f0f5fa" w:val="clear"/>
          </w:tcPr>
          <w:p>
            <w:r/>
            <w:r>
              <w:rPr>
                <w:rFonts w:ascii="Source Sans Pro" w:hAnsi="Source Sans Pro"/>
                <w:sz w:val="18"/>
              </w:rPr>
              <w:t>0</w:t>
            </w:r>
          </w:p>
        </w:tc>
        <w:tc>
          <w:tcPr>
            <w:tcW w:type="dxa" w:w="1872"/>
            <w:shd w:fill="f0f5fa" w:val="clear"/>
          </w:tcPr>
          <w:p>
            <w:r/>
            <w:r>
              <w:rPr>
                <w:rFonts w:ascii="Source Sans Pro" w:hAnsi="Source Sans Pro"/>
                <w:sz w:val="18"/>
              </w:rPr>
              <w:t>37.0</w:t>
            </w:r>
          </w:p>
        </w:tc>
      </w:tr>
      <w:tr>
        <w:tc>
          <w:tcPr>
            <w:tcW w:type="dxa" w:w="4032"/>
            <w:shd w:fill="ffffff" w:val="clear"/>
          </w:tcPr>
          <w:p>
            <w:r/>
            <w:r>
              <w:rPr>
                <w:rFonts w:ascii="Source Sans Pro" w:hAnsi="Source Sans Pro"/>
                <w:sz w:val="18"/>
              </w:rPr>
              <w:t>Ventia Engineering Services</w:t>
            </w:r>
          </w:p>
        </w:tc>
        <w:tc>
          <w:tcPr>
            <w:tcW w:type="dxa" w:w="1440"/>
            <w:shd w:fill="ffffff" w:val="clear"/>
          </w:tcPr>
          <w:p>
            <w:r/>
            <w:r>
              <w:rPr>
                <w:rFonts w:ascii="Source Sans Pro" w:hAnsi="Source Sans Pro"/>
                <w:sz w:val="18"/>
              </w:rPr>
              <w:t>182</w:t>
            </w:r>
          </w:p>
        </w:tc>
        <w:tc>
          <w:tcPr>
            <w:tcW w:type="dxa" w:w="1296"/>
            <w:shd w:fill="ffffff" w:val="clear"/>
          </w:tcPr>
          <w:p>
            <w:r/>
            <w:r>
              <w:rPr>
                <w:rFonts w:ascii="Source Sans Pro" w:hAnsi="Source Sans Pro"/>
                <w:sz w:val="18"/>
              </w:rPr>
              <w:t>2</w:t>
            </w:r>
          </w:p>
        </w:tc>
        <w:tc>
          <w:tcPr>
            <w:tcW w:type="dxa" w:w="1296"/>
            <w:shd w:fill="ffffff" w:val="clear"/>
          </w:tcPr>
          <w:p>
            <w:r/>
            <w:r>
              <w:rPr>
                <w:rFonts w:ascii="Source Sans Pro" w:hAnsi="Source Sans Pro"/>
                <w:sz w:val="18"/>
              </w:rPr>
              <w:t>0</w:t>
            </w:r>
          </w:p>
        </w:tc>
        <w:tc>
          <w:tcPr>
            <w:tcW w:type="dxa" w:w="1872"/>
            <w:shd w:fill="ffffff" w:val="clear"/>
          </w:tcPr>
          <w:p>
            <w:r/>
            <w:r>
              <w:rPr>
                <w:rFonts w:ascii="Source Sans Pro" w:hAnsi="Source Sans Pro"/>
                <w:sz w:val="18"/>
              </w:rPr>
              <w:t>91.0</w:t>
            </w:r>
          </w:p>
        </w:tc>
      </w:tr>
    </w:tbl>
    <w:p/>
    <w:p>
      <w:r>
        <w:rPr>
          <w:rFonts w:ascii="Source Sans Pro" w:hAnsi="Source Sans Pro"/>
          <w:b/>
          <w:i w:val="0"/>
          <w:color w:val="0B3254"/>
          <w:sz w:val="22"/>
        </w:rPr>
        <w:t>Projects needing leadership attention:</w:t>
      </w:r>
    </w:p>
    <w:tbl>
      <w:tblPr>
        <w:tblStyle w:val="TableGrid"/>
        <w:tblW w:type="auto" w:w="0"/>
        <w:jc w:val="left"/>
        <w:tblLook w:firstColumn="1" w:firstRow="1" w:lastColumn="0" w:lastRow="0" w:noHBand="0" w:noVBand="1" w:val="04A0"/>
      </w:tblPr>
      <w:tblGrid>
        <w:gridCol w:w="2085"/>
        <w:gridCol w:w="2085"/>
        <w:gridCol w:w="2085"/>
        <w:gridCol w:w="2085"/>
        <w:gridCol w:w="2085"/>
      </w:tblGrid>
      <w:tr>
        <w:tc>
          <w:tcPr>
            <w:tcW w:type="dxa" w:w="4032"/>
            <w:shd w:fill="0b3254" w:val="clear"/>
          </w:tcPr>
          <w:p>
            <w:r/>
            <w:r>
              <w:rPr>
                <w:rFonts w:ascii="Source Sans Pro" w:hAnsi="Source Sans Pro"/>
                <w:b/>
                <w:color w:val="FFFFFF"/>
                <w:sz w:val="18"/>
              </w:rPr>
              <w:t>Project</w:t>
            </w:r>
          </w:p>
        </w:tc>
        <w:tc>
          <w:tcPr>
            <w:tcW w:type="dxa" w:w="1440"/>
            <w:shd w:fill="0b3254" w:val="clear"/>
          </w:tcPr>
          <w:p>
            <w:r/>
            <w:r>
              <w:rPr>
                <w:rFonts w:ascii="Source Sans Pro" w:hAnsi="Source Sans Pro"/>
                <w:b/>
                <w:color w:val="FFFFFF"/>
                <w:sz w:val="18"/>
              </w:rPr>
              <w:t>Activities</w:t>
            </w:r>
          </w:p>
        </w:tc>
        <w:tc>
          <w:tcPr>
            <w:tcW w:type="dxa" w:w="1296"/>
            <w:shd w:fill="0b3254" w:val="clear"/>
          </w:tcPr>
          <w:p>
            <w:r/>
            <w:r>
              <w:rPr>
                <w:rFonts w:ascii="Source Sans Pro" w:hAnsi="Source Sans Pro"/>
                <w:b/>
                <w:color w:val="FFFFFF"/>
                <w:sz w:val="18"/>
              </w:rPr>
              <w:t>Events</w:t>
            </w:r>
          </w:p>
        </w:tc>
        <w:tc>
          <w:tcPr>
            <w:tcW w:type="dxa" w:w="1296"/>
            <w:shd w:fill="0b3254" w:val="clear"/>
          </w:tcPr>
          <w:p>
            <w:r/>
            <w:r>
              <w:rPr>
                <w:rFonts w:ascii="Source Sans Pro" w:hAnsi="Source Sans Pro"/>
                <w:b/>
                <w:color w:val="FFFFFF"/>
                <w:sz w:val="18"/>
              </w:rPr>
              <w:t>Serious</w:t>
            </w:r>
          </w:p>
        </w:tc>
        <w:tc>
          <w:tcPr>
            <w:tcW w:type="dxa" w:w="1872"/>
            <w:shd w:fill="0b3254" w:val="clear"/>
          </w:tcPr>
          <w:p>
            <w:r/>
            <w:r>
              <w:rPr>
                <w:rFonts w:ascii="Source Sans Pro" w:hAnsi="Source Sans Pro"/>
                <w:b/>
                <w:color w:val="FFFFFF"/>
                <w:sz w:val="18"/>
              </w:rPr>
              <w:t>Activity:Event</w:t>
            </w:r>
          </w:p>
        </w:tc>
      </w:tr>
      <w:tr>
        <w:tc>
          <w:tcPr>
            <w:tcW w:type="dxa" w:w="4032"/>
            <w:shd w:fill="f0f5fa" w:val="clear"/>
          </w:tcPr>
          <w:p>
            <w:r/>
            <w:r>
              <w:rPr>
                <w:rFonts w:ascii="Source Sans Pro" w:hAnsi="Source Sans Pro"/>
                <w:sz w:val="18"/>
              </w:rPr>
              <w:t>Far North Waters</w:t>
            </w:r>
          </w:p>
        </w:tc>
        <w:tc>
          <w:tcPr>
            <w:tcW w:type="dxa" w:w="1440"/>
            <w:shd w:fill="f0f5fa" w:val="clear"/>
          </w:tcPr>
          <w:p>
            <w:r/>
            <w:r>
              <w:rPr>
                <w:rFonts w:ascii="Source Sans Pro" w:hAnsi="Source Sans Pro"/>
                <w:sz w:val="18"/>
              </w:rPr>
              <w:t>589</w:t>
            </w:r>
          </w:p>
        </w:tc>
        <w:tc>
          <w:tcPr>
            <w:tcW w:type="dxa" w:w="1296"/>
            <w:shd w:fill="f0f5fa" w:val="clear"/>
          </w:tcPr>
          <w:p>
            <w:r/>
            <w:r>
              <w:rPr>
                <w:rFonts w:ascii="Source Sans Pro" w:hAnsi="Source Sans Pro"/>
                <w:sz w:val="18"/>
              </w:rPr>
              <w:t>112</w:t>
            </w:r>
          </w:p>
        </w:tc>
        <w:tc>
          <w:tcPr>
            <w:tcW w:type="dxa" w:w="1296"/>
            <w:shd w:fill="f0f5fa" w:val="clear"/>
          </w:tcPr>
          <w:p>
            <w:r/>
            <w:r>
              <w:rPr>
                <w:rFonts w:ascii="Source Sans Pro" w:hAnsi="Source Sans Pro"/>
                <w:sz w:val="18"/>
              </w:rPr>
              <w:t>11</w:t>
            </w:r>
          </w:p>
        </w:tc>
        <w:tc>
          <w:tcPr>
            <w:tcW w:type="dxa" w:w="1872"/>
            <w:shd w:fill="f0f5fa" w:val="clear"/>
          </w:tcPr>
          <w:p>
            <w:r/>
            <w:r>
              <w:rPr>
                <w:rFonts w:ascii="Source Sans Pro" w:hAnsi="Source Sans Pro"/>
                <w:sz w:val="18"/>
              </w:rPr>
              <w:t>5.3</w:t>
            </w:r>
          </w:p>
        </w:tc>
      </w:tr>
      <w:tr>
        <w:tc>
          <w:tcPr>
            <w:tcW w:type="dxa" w:w="4032"/>
            <w:shd w:fill="ffffff" w:val="clear"/>
          </w:tcPr>
          <w:p>
            <w:r/>
            <w:r>
              <w:rPr>
                <w:rFonts w:ascii="Source Sans Pro" w:hAnsi="Source Sans Pro"/>
                <w:sz w:val="18"/>
              </w:rPr>
              <w:t>ENR NZ South</w:t>
            </w:r>
          </w:p>
        </w:tc>
        <w:tc>
          <w:tcPr>
            <w:tcW w:type="dxa" w:w="1440"/>
            <w:shd w:fill="ffffff" w:val="clear"/>
          </w:tcPr>
          <w:p>
            <w:r/>
            <w:r>
              <w:rPr>
                <w:rFonts w:ascii="Source Sans Pro" w:hAnsi="Source Sans Pro"/>
                <w:sz w:val="18"/>
              </w:rPr>
              <w:t>739</w:t>
            </w:r>
          </w:p>
        </w:tc>
        <w:tc>
          <w:tcPr>
            <w:tcW w:type="dxa" w:w="1296"/>
            <w:shd w:fill="ffffff" w:val="clear"/>
          </w:tcPr>
          <w:p>
            <w:r/>
            <w:r>
              <w:rPr>
                <w:rFonts w:ascii="Source Sans Pro" w:hAnsi="Source Sans Pro"/>
                <w:sz w:val="18"/>
              </w:rPr>
              <w:t>189</w:t>
            </w:r>
          </w:p>
        </w:tc>
        <w:tc>
          <w:tcPr>
            <w:tcW w:type="dxa" w:w="1296"/>
            <w:shd w:fill="ffffff" w:val="clear"/>
          </w:tcPr>
          <w:p>
            <w:r/>
            <w:r>
              <w:rPr>
                <w:rFonts w:ascii="Source Sans Pro" w:hAnsi="Source Sans Pro"/>
                <w:sz w:val="18"/>
              </w:rPr>
              <w:t>9</w:t>
            </w:r>
          </w:p>
        </w:tc>
        <w:tc>
          <w:tcPr>
            <w:tcW w:type="dxa" w:w="1872"/>
            <w:shd w:fill="ffffff" w:val="clear"/>
          </w:tcPr>
          <w:p>
            <w:r/>
            <w:r>
              <w:rPr>
                <w:rFonts w:ascii="Source Sans Pro" w:hAnsi="Source Sans Pro"/>
                <w:sz w:val="18"/>
              </w:rPr>
              <w:t>3.9</w:t>
            </w:r>
          </w:p>
        </w:tc>
      </w:tr>
      <w:tr>
        <w:tc>
          <w:tcPr>
            <w:tcW w:type="dxa" w:w="4032"/>
            <w:shd w:fill="f0f5fa" w:val="clear"/>
          </w:tcPr>
          <w:p>
            <w:r/>
            <w:r>
              <w:rPr>
                <w:rFonts w:ascii="Source Sans Pro" w:hAnsi="Source Sans Pro"/>
                <w:sz w:val="18"/>
              </w:rPr>
              <w:t>Utilita</w:t>
            </w:r>
          </w:p>
        </w:tc>
        <w:tc>
          <w:tcPr>
            <w:tcW w:type="dxa" w:w="1440"/>
            <w:shd w:fill="f0f5fa" w:val="clear"/>
          </w:tcPr>
          <w:p>
            <w:r/>
            <w:r>
              <w:rPr>
                <w:rFonts w:ascii="Source Sans Pro" w:hAnsi="Source Sans Pro"/>
                <w:sz w:val="18"/>
              </w:rPr>
              <w:t>68</w:t>
            </w:r>
          </w:p>
        </w:tc>
        <w:tc>
          <w:tcPr>
            <w:tcW w:type="dxa" w:w="1296"/>
            <w:shd w:fill="f0f5fa" w:val="clear"/>
          </w:tcPr>
          <w:p>
            <w:r/>
            <w:r>
              <w:rPr>
                <w:rFonts w:ascii="Source Sans Pro" w:hAnsi="Source Sans Pro"/>
                <w:sz w:val="18"/>
              </w:rPr>
              <w:t>93</w:t>
            </w:r>
          </w:p>
        </w:tc>
        <w:tc>
          <w:tcPr>
            <w:tcW w:type="dxa" w:w="1296"/>
            <w:shd w:fill="f0f5fa" w:val="clear"/>
          </w:tcPr>
          <w:p>
            <w:r/>
            <w:r>
              <w:rPr>
                <w:rFonts w:ascii="Source Sans Pro" w:hAnsi="Source Sans Pro"/>
                <w:sz w:val="18"/>
              </w:rPr>
              <w:t>8</w:t>
            </w:r>
          </w:p>
        </w:tc>
        <w:tc>
          <w:tcPr>
            <w:tcW w:type="dxa" w:w="1872"/>
            <w:shd w:fill="f0f5fa" w:val="clear"/>
          </w:tcPr>
          <w:p>
            <w:r/>
            <w:r>
              <w:rPr>
                <w:rFonts w:ascii="Source Sans Pro" w:hAnsi="Source Sans Pro"/>
                <w:sz w:val="18"/>
              </w:rPr>
              <w:t>0.7</w:t>
            </w:r>
          </w:p>
        </w:tc>
      </w:tr>
      <w:tr>
        <w:tc>
          <w:tcPr>
            <w:tcW w:type="dxa" w:w="4032"/>
            <w:shd w:fill="ffffff" w:val="clear"/>
          </w:tcPr>
          <w:p>
            <w:r/>
            <w:r>
              <w:rPr>
                <w:rFonts w:ascii="Source Sans Pro" w:hAnsi="Source Sans Pro"/>
                <w:sz w:val="18"/>
              </w:rPr>
              <w:t>WSO</w:t>
            </w:r>
          </w:p>
        </w:tc>
        <w:tc>
          <w:tcPr>
            <w:tcW w:type="dxa" w:w="1440"/>
            <w:shd w:fill="ffffff" w:val="clear"/>
          </w:tcPr>
          <w:p>
            <w:r/>
            <w:r>
              <w:rPr>
                <w:rFonts w:ascii="Source Sans Pro" w:hAnsi="Source Sans Pro"/>
                <w:sz w:val="18"/>
              </w:rPr>
              <w:t>643</w:t>
            </w:r>
          </w:p>
        </w:tc>
        <w:tc>
          <w:tcPr>
            <w:tcW w:type="dxa" w:w="1296"/>
            <w:shd w:fill="ffffff" w:val="clear"/>
          </w:tcPr>
          <w:p>
            <w:r/>
            <w:r>
              <w:rPr>
                <w:rFonts w:ascii="Source Sans Pro" w:hAnsi="Source Sans Pro"/>
                <w:sz w:val="18"/>
              </w:rPr>
              <w:t>251</w:t>
            </w:r>
          </w:p>
        </w:tc>
        <w:tc>
          <w:tcPr>
            <w:tcW w:type="dxa" w:w="1296"/>
            <w:shd w:fill="ffffff" w:val="clear"/>
          </w:tcPr>
          <w:p>
            <w:r/>
            <w:r>
              <w:rPr>
                <w:rFonts w:ascii="Source Sans Pro" w:hAnsi="Source Sans Pro"/>
                <w:sz w:val="18"/>
              </w:rPr>
              <w:t>7</w:t>
            </w:r>
          </w:p>
        </w:tc>
        <w:tc>
          <w:tcPr>
            <w:tcW w:type="dxa" w:w="1872"/>
            <w:shd w:fill="ffffff" w:val="clear"/>
          </w:tcPr>
          <w:p>
            <w:r/>
            <w:r>
              <w:rPr>
                <w:rFonts w:ascii="Source Sans Pro" w:hAnsi="Source Sans Pro"/>
                <w:sz w:val="18"/>
              </w:rPr>
              <w:t>2.6</w:t>
            </w:r>
          </w:p>
        </w:tc>
      </w:tr>
      <w:tr>
        <w:tc>
          <w:tcPr>
            <w:tcW w:type="dxa" w:w="4032"/>
            <w:shd w:fill="f0f5fa" w:val="clear"/>
          </w:tcPr>
          <w:p>
            <w:r/>
            <w:r>
              <w:rPr>
                <w:rFonts w:ascii="Source Sans Pro" w:hAnsi="Source Sans Pro"/>
                <w:sz w:val="18"/>
              </w:rPr>
              <w:t>ENR NZ Central</w:t>
            </w:r>
          </w:p>
        </w:tc>
        <w:tc>
          <w:tcPr>
            <w:tcW w:type="dxa" w:w="1440"/>
            <w:shd w:fill="f0f5fa" w:val="clear"/>
          </w:tcPr>
          <w:p>
            <w:r/>
            <w:r>
              <w:rPr>
                <w:rFonts w:ascii="Source Sans Pro" w:hAnsi="Source Sans Pro"/>
                <w:sz w:val="18"/>
              </w:rPr>
              <w:t>827</w:t>
            </w:r>
          </w:p>
        </w:tc>
        <w:tc>
          <w:tcPr>
            <w:tcW w:type="dxa" w:w="1296"/>
            <w:shd w:fill="f0f5fa" w:val="clear"/>
          </w:tcPr>
          <w:p>
            <w:r/>
            <w:r>
              <w:rPr>
                <w:rFonts w:ascii="Source Sans Pro" w:hAnsi="Source Sans Pro"/>
                <w:sz w:val="18"/>
              </w:rPr>
              <w:t>156</w:t>
            </w:r>
          </w:p>
        </w:tc>
        <w:tc>
          <w:tcPr>
            <w:tcW w:type="dxa" w:w="1296"/>
            <w:shd w:fill="f0f5fa" w:val="clear"/>
          </w:tcPr>
          <w:p>
            <w:r/>
            <w:r>
              <w:rPr>
                <w:rFonts w:ascii="Source Sans Pro" w:hAnsi="Source Sans Pro"/>
                <w:sz w:val="18"/>
              </w:rPr>
              <w:t>5</w:t>
            </w:r>
          </w:p>
        </w:tc>
        <w:tc>
          <w:tcPr>
            <w:tcW w:type="dxa" w:w="1872"/>
            <w:shd w:fill="f0f5fa" w:val="clear"/>
          </w:tcPr>
          <w:p>
            <w:r/>
            <w:r>
              <w:rPr>
                <w:rFonts w:ascii="Source Sans Pro" w:hAnsi="Source Sans Pro"/>
                <w:sz w:val="18"/>
              </w:rPr>
              <w:t>5.3</w:t>
            </w:r>
          </w:p>
        </w:tc>
      </w:tr>
      <w:tr>
        <w:tc>
          <w:tcPr>
            <w:tcW w:type="dxa" w:w="4032"/>
            <w:shd w:fill="ffffff" w:val="clear"/>
          </w:tcPr>
          <w:p>
            <w:r/>
            <w:r>
              <w:rPr>
                <w:rFonts w:ascii="Source Sans Pro" w:hAnsi="Source Sans Pro"/>
                <w:sz w:val="18"/>
              </w:rPr>
              <w:t>Project Services</w:t>
            </w:r>
          </w:p>
        </w:tc>
        <w:tc>
          <w:tcPr>
            <w:tcW w:type="dxa" w:w="1440"/>
            <w:shd w:fill="ffffff" w:val="clear"/>
          </w:tcPr>
          <w:p>
            <w:r/>
            <w:r>
              <w:rPr>
                <w:rFonts w:ascii="Source Sans Pro" w:hAnsi="Source Sans Pro"/>
                <w:sz w:val="18"/>
              </w:rPr>
              <w:t>656</w:t>
            </w:r>
          </w:p>
        </w:tc>
        <w:tc>
          <w:tcPr>
            <w:tcW w:type="dxa" w:w="1296"/>
            <w:shd w:fill="ffffff" w:val="clear"/>
          </w:tcPr>
          <w:p>
            <w:r/>
            <w:r>
              <w:rPr>
                <w:rFonts w:ascii="Source Sans Pro" w:hAnsi="Source Sans Pro"/>
                <w:sz w:val="18"/>
              </w:rPr>
              <w:t>73</w:t>
            </w:r>
          </w:p>
        </w:tc>
        <w:tc>
          <w:tcPr>
            <w:tcW w:type="dxa" w:w="1296"/>
            <w:shd w:fill="ffffff" w:val="clear"/>
          </w:tcPr>
          <w:p>
            <w:r/>
            <w:r>
              <w:rPr>
                <w:rFonts w:ascii="Source Sans Pro" w:hAnsi="Source Sans Pro"/>
                <w:sz w:val="18"/>
              </w:rPr>
              <w:t>5</w:t>
            </w:r>
          </w:p>
        </w:tc>
        <w:tc>
          <w:tcPr>
            <w:tcW w:type="dxa" w:w="1872"/>
            <w:shd w:fill="ffffff" w:val="clear"/>
          </w:tcPr>
          <w:p>
            <w:r/>
            <w:r>
              <w:rPr>
                <w:rFonts w:ascii="Source Sans Pro" w:hAnsi="Source Sans Pro"/>
                <w:sz w:val="18"/>
              </w:rPr>
              <w:t>9.0</w:t>
            </w:r>
          </w:p>
        </w:tc>
      </w:tr>
    </w:tbl>
    <w:p/>
    <w:p>
      <w:pPr>
        <w:pStyle w:val="Heading2"/>
      </w:pPr>
      <w:r>
        <w:t>7.3 Location Performance Signals</w:t>
      </w:r>
    </w:p>
    <w:tbl>
      <w:tblPr>
        <w:tblStyle w:val="TableGrid"/>
        <w:tblW w:type="auto" w:w="0"/>
        <w:jc w:val="left"/>
        <w:tblLook w:firstColumn="1" w:firstRow="1" w:lastColumn="0" w:lastRow="0" w:noHBand="0" w:noVBand="1" w:val="04A0"/>
      </w:tblPr>
      <w:tblGrid>
        <w:gridCol w:w="2085"/>
        <w:gridCol w:w="2085"/>
        <w:gridCol w:w="2085"/>
        <w:gridCol w:w="2085"/>
        <w:gridCol w:w="2085"/>
      </w:tblGrid>
      <w:tr>
        <w:tc>
          <w:tcPr>
            <w:tcW w:type="dxa" w:w="4032"/>
            <w:shd w:fill="0b3254" w:val="clear"/>
          </w:tcPr>
          <w:p>
            <w:r/>
            <w:r>
              <w:rPr>
                <w:rFonts w:ascii="Source Sans Pro" w:hAnsi="Source Sans Pro"/>
                <w:b/>
                <w:color w:val="FFFFFF"/>
                <w:sz w:val="18"/>
              </w:rPr>
              <w:t>Location</w:t>
            </w:r>
          </w:p>
        </w:tc>
        <w:tc>
          <w:tcPr>
            <w:tcW w:type="dxa" w:w="1440"/>
            <w:shd w:fill="0b3254" w:val="clear"/>
          </w:tcPr>
          <w:p>
            <w:r/>
            <w:r>
              <w:rPr>
                <w:rFonts w:ascii="Source Sans Pro" w:hAnsi="Source Sans Pro"/>
                <w:b/>
                <w:color w:val="FFFFFF"/>
                <w:sz w:val="18"/>
              </w:rPr>
              <w:t>Activities</w:t>
            </w:r>
          </w:p>
        </w:tc>
        <w:tc>
          <w:tcPr>
            <w:tcW w:type="dxa" w:w="1296"/>
            <w:shd w:fill="0b3254" w:val="clear"/>
          </w:tcPr>
          <w:p>
            <w:r/>
            <w:r>
              <w:rPr>
                <w:rFonts w:ascii="Source Sans Pro" w:hAnsi="Source Sans Pro"/>
                <w:b/>
                <w:color w:val="FFFFFF"/>
                <w:sz w:val="18"/>
              </w:rPr>
              <w:t>Events</w:t>
            </w:r>
          </w:p>
        </w:tc>
        <w:tc>
          <w:tcPr>
            <w:tcW w:type="dxa" w:w="1296"/>
            <w:shd w:fill="0b3254" w:val="clear"/>
          </w:tcPr>
          <w:p>
            <w:r/>
            <w:r>
              <w:rPr>
                <w:rFonts w:ascii="Source Sans Pro" w:hAnsi="Source Sans Pro"/>
                <w:b/>
                <w:color w:val="FFFFFF"/>
                <w:sz w:val="18"/>
              </w:rPr>
              <w:t>Serious</w:t>
            </w:r>
          </w:p>
        </w:tc>
        <w:tc>
          <w:tcPr>
            <w:tcW w:type="dxa" w:w="1872"/>
            <w:shd w:fill="0b3254" w:val="clear"/>
          </w:tcPr>
          <w:p>
            <w:r/>
            <w:r>
              <w:rPr>
                <w:rFonts w:ascii="Source Sans Pro" w:hAnsi="Source Sans Pro"/>
                <w:b/>
                <w:color w:val="FFFFFF"/>
                <w:sz w:val="18"/>
              </w:rPr>
              <w:t>Activity:Event</w:t>
            </w:r>
          </w:p>
        </w:tc>
      </w:tr>
      <w:tr>
        <w:tc>
          <w:tcPr>
            <w:tcW w:type="dxa" w:w="4032"/>
            <w:shd w:fill="f0f5fa" w:val="clear"/>
          </w:tcPr>
          <w:p>
            <w:r/>
            <w:r>
              <w:rPr>
                <w:rFonts w:ascii="Source Sans Pro" w:hAnsi="Source Sans Pro"/>
                <w:sz w:val="18"/>
              </w:rPr>
              <w:t>Integrated Teams</w:t>
            </w:r>
          </w:p>
        </w:tc>
        <w:tc>
          <w:tcPr>
            <w:tcW w:type="dxa" w:w="1440"/>
            <w:shd w:fill="f0f5fa" w:val="clear"/>
          </w:tcPr>
          <w:p>
            <w:r/>
            <w:r>
              <w:rPr>
                <w:rFonts w:ascii="Source Sans Pro" w:hAnsi="Source Sans Pro"/>
                <w:sz w:val="18"/>
              </w:rPr>
              <w:t>144</w:t>
            </w:r>
          </w:p>
        </w:tc>
        <w:tc>
          <w:tcPr>
            <w:tcW w:type="dxa" w:w="1296"/>
            <w:shd w:fill="f0f5fa" w:val="clear"/>
          </w:tcPr>
          <w:p>
            <w:r/>
            <w:r>
              <w:rPr>
                <w:rFonts w:ascii="Source Sans Pro" w:hAnsi="Source Sans Pro"/>
                <w:sz w:val="18"/>
              </w:rPr>
              <w:t>0</w:t>
            </w:r>
          </w:p>
        </w:tc>
        <w:tc>
          <w:tcPr>
            <w:tcW w:type="dxa" w:w="1296"/>
            <w:shd w:fill="f0f5fa" w:val="clear"/>
          </w:tcPr>
          <w:p>
            <w:r/>
            <w:r>
              <w:rPr>
                <w:rFonts w:ascii="Source Sans Pro" w:hAnsi="Source Sans Pro"/>
                <w:sz w:val="18"/>
              </w:rPr>
              <w:t>0</w:t>
            </w:r>
          </w:p>
        </w:tc>
        <w:tc>
          <w:tcPr>
            <w:tcW w:type="dxa" w:w="1872"/>
            <w:shd w:fill="f0f5fa" w:val="clear"/>
          </w:tcPr>
          <w:p>
            <w:r/>
            <w:r>
              <w:rPr>
                <w:rFonts w:ascii="Source Sans Pro" w:hAnsi="Source Sans Pro"/>
                <w:sz w:val="18"/>
              </w:rPr>
              <w:t>—</w:t>
            </w:r>
          </w:p>
        </w:tc>
      </w:tr>
      <w:tr>
        <w:tc>
          <w:tcPr>
            <w:tcW w:type="dxa" w:w="4032"/>
            <w:shd w:fill="ffffff" w:val="clear"/>
          </w:tcPr>
          <w:p>
            <w:r/>
            <w:r>
              <w:rPr>
                <w:rFonts w:ascii="Source Sans Pro" w:hAnsi="Source Sans Pro"/>
                <w:sz w:val="18"/>
              </w:rPr>
              <w:t>Zinfra</w:t>
            </w:r>
          </w:p>
        </w:tc>
        <w:tc>
          <w:tcPr>
            <w:tcW w:type="dxa" w:w="1440"/>
            <w:shd w:fill="ffffff" w:val="clear"/>
          </w:tcPr>
          <w:p>
            <w:r/>
            <w:r>
              <w:rPr>
                <w:rFonts w:ascii="Source Sans Pro" w:hAnsi="Source Sans Pro"/>
                <w:sz w:val="18"/>
              </w:rPr>
              <w:t>78</w:t>
            </w:r>
          </w:p>
        </w:tc>
        <w:tc>
          <w:tcPr>
            <w:tcW w:type="dxa" w:w="1296"/>
            <w:shd w:fill="ffffff" w:val="clear"/>
          </w:tcPr>
          <w:p>
            <w:r/>
            <w:r>
              <w:rPr>
                <w:rFonts w:ascii="Source Sans Pro" w:hAnsi="Source Sans Pro"/>
                <w:sz w:val="18"/>
              </w:rPr>
              <w:t>0</w:t>
            </w:r>
          </w:p>
        </w:tc>
        <w:tc>
          <w:tcPr>
            <w:tcW w:type="dxa" w:w="1296"/>
            <w:shd w:fill="ffffff" w:val="clear"/>
          </w:tcPr>
          <w:p>
            <w:r/>
            <w:r>
              <w:rPr>
                <w:rFonts w:ascii="Source Sans Pro" w:hAnsi="Source Sans Pro"/>
                <w:sz w:val="18"/>
              </w:rPr>
              <w:t>0</w:t>
            </w:r>
          </w:p>
        </w:tc>
        <w:tc>
          <w:tcPr>
            <w:tcW w:type="dxa" w:w="1872"/>
            <w:shd w:fill="ffffff" w:val="clear"/>
          </w:tcPr>
          <w:p>
            <w:r/>
            <w:r>
              <w:rPr>
                <w:rFonts w:ascii="Source Sans Pro" w:hAnsi="Source Sans Pro"/>
                <w:sz w:val="18"/>
              </w:rPr>
              <w:t>—</w:t>
            </w:r>
          </w:p>
        </w:tc>
      </w:tr>
      <w:tr>
        <w:tc>
          <w:tcPr>
            <w:tcW w:type="dxa" w:w="4032"/>
            <w:shd w:fill="f0f5fa" w:val="clear"/>
          </w:tcPr>
          <w:p>
            <w:r/>
            <w:r>
              <w:rPr>
                <w:rFonts w:ascii="Source Sans Pro" w:hAnsi="Source Sans Pro"/>
                <w:sz w:val="18"/>
              </w:rPr>
              <w:t>Port of Brisbane</w:t>
            </w:r>
          </w:p>
        </w:tc>
        <w:tc>
          <w:tcPr>
            <w:tcW w:type="dxa" w:w="1440"/>
            <w:shd w:fill="f0f5fa" w:val="clear"/>
          </w:tcPr>
          <w:p>
            <w:r/>
            <w:r>
              <w:rPr>
                <w:rFonts w:ascii="Source Sans Pro" w:hAnsi="Source Sans Pro"/>
                <w:sz w:val="18"/>
              </w:rPr>
              <w:t>62</w:t>
            </w:r>
          </w:p>
        </w:tc>
        <w:tc>
          <w:tcPr>
            <w:tcW w:type="dxa" w:w="1296"/>
            <w:shd w:fill="f0f5fa" w:val="clear"/>
          </w:tcPr>
          <w:p>
            <w:r/>
            <w:r>
              <w:rPr>
                <w:rFonts w:ascii="Source Sans Pro" w:hAnsi="Source Sans Pro"/>
                <w:sz w:val="18"/>
              </w:rPr>
              <w:t>0</w:t>
            </w:r>
          </w:p>
        </w:tc>
        <w:tc>
          <w:tcPr>
            <w:tcW w:type="dxa" w:w="1296"/>
            <w:shd w:fill="f0f5fa" w:val="clear"/>
          </w:tcPr>
          <w:p>
            <w:r/>
            <w:r>
              <w:rPr>
                <w:rFonts w:ascii="Source Sans Pro" w:hAnsi="Source Sans Pro"/>
                <w:sz w:val="18"/>
              </w:rPr>
              <w:t>0</w:t>
            </w:r>
          </w:p>
        </w:tc>
        <w:tc>
          <w:tcPr>
            <w:tcW w:type="dxa" w:w="1872"/>
            <w:shd w:fill="f0f5fa" w:val="clear"/>
          </w:tcPr>
          <w:p>
            <w:r/>
            <w:r>
              <w:rPr>
                <w:rFonts w:ascii="Source Sans Pro" w:hAnsi="Source Sans Pro"/>
                <w:sz w:val="18"/>
              </w:rPr>
              <w:t>—</w:t>
            </w:r>
          </w:p>
        </w:tc>
      </w:tr>
      <w:tr>
        <w:tc>
          <w:tcPr>
            <w:tcW w:type="dxa" w:w="4032"/>
            <w:shd w:fill="ffffff" w:val="clear"/>
          </w:tcPr>
          <w:p>
            <w:r/>
            <w:r>
              <w:rPr>
                <w:rFonts w:ascii="Source Sans Pro" w:hAnsi="Source Sans Pro"/>
                <w:sz w:val="18"/>
              </w:rPr>
              <w:t>Labour Services</w:t>
            </w:r>
          </w:p>
        </w:tc>
        <w:tc>
          <w:tcPr>
            <w:tcW w:type="dxa" w:w="1440"/>
            <w:shd w:fill="ffffff" w:val="clear"/>
          </w:tcPr>
          <w:p>
            <w:r/>
            <w:r>
              <w:rPr>
                <w:rFonts w:ascii="Source Sans Pro" w:hAnsi="Source Sans Pro"/>
                <w:sz w:val="18"/>
              </w:rPr>
              <w:t>67</w:t>
            </w:r>
          </w:p>
        </w:tc>
        <w:tc>
          <w:tcPr>
            <w:tcW w:type="dxa" w:w="1296"/>
            <w:shd w:fill="ffffff" w:val="clear"/>
          </w:tcPr>
          <w:p>
            <w:r/>
            <w:r>
              <w:rPr>
                <w:rFonts w:ascii="Source Sans Pro" w:hAnsi="Source Sans Pro"/>
                <w:sz w:val="18"/>
              </w:rPr>
              <w:t>1</w:t>
            </w:r>
          </w:p>
        </w:tc>
        <w:tc>
          <w:tcPr>
            <w:tcW w:type="dxa" w:w="1296"/>
            <w:shd w:fill="ffffff" w:val="clear"/>
          </w:tcPr>
          <w:p>
            <w:r/>
            <w:r>
              <w:rPr>
                <w:rFonts w:ascii="Source Sans Pro" w:hAnsi="Source Sans Pro"/>
                <w:sz w:val="18"/>
              </w:rPr>
              <w:t>0</w:t>
            </w:r>
          </w:p>
        </w:tc>
        <w:tc>
          <w:tcPr>
            <w:tcW w:type="dxa" w:w="1872"/>
            <w:shd w:fill="ffffff" w:val="clear"/>
          </w:tcPr>
          <w:p>
            <w:r/>
            <w:r>
              <w:rPr>
                <w:rFonts w:ascii="Source Sans Pro" w:hAnsi="Source Sans Pro"/>
                <w:sz w:val="18"/>
              </w:rPr>
              <w:t>67.0</w:t>
            </w:r>
          </w:p>
        </w:tc>
      </w:tr>
      <w:tr>
        <w:tc>
          <w:tcPr>
            <w:tcW w:type="dxa" w:w="4032"/>
            <w:shd w:fill="f0f5fa" w:val="clear"/>
          </w:tcPr>
          <w:p>
            <w:r/>
            <w:r>
              <w:rPr>
                <w:rFonts w:ascii="Source Sans Pro" w:hAnsi="Source Sans Pro"/>
                <w:sz w:val="18"/>
              </w:rPr>
              <w:t>Lavarack Barracks</w:t>
            </w:r>
          </w:p>
        </w:tc>
        <w:tc>
          <w:tcPr>
            <w:tcW w:type="dxa" w:w="1440"/>
            <w:shd w:fill="f0f5fa" w:val="clear"/>
          </w:tcPr>
          <w:p>
            <w:r/>
            <w:r>
              <w:rPr>
                <w:rFonts w:ascii="Source Sans Pro" w:hAnsi="Source Sans Pro"/>
                <w:sz w:val="18"/>
              </w:rPr>
              <w:t>65</w:t>
            </w:r>
          </w:p>
        </w:tc>
        <w:tc>
          <w:tcPr>
            <w:tcW w:type="dxa" w:w="1296"/>
            <w:shd w:fill="f0f5fa" w:val="clear"/>
          </w:tcPr>
          <w:p>
            <w:r/>
            <w:r>
              <w:rPr>
                <w:rFonts w:ascii="Source Sans Pro" w:hAnsi="Source Sans Pro"/>
                <w:sz w:val="18"/>
              </w:rPr>
              <w:t>1</w:t>
            </w:r>
          </w:p>
        </w:tc>
        <w:tc>
          <w:tcPr>
            <w:tcW w:type="dxa" w:w="1296"/>
            <w:shd w:fill="f0f5fa" w:val="clear"/>
          </w:tcPr>
          <w:p>
            <w:r/>
            <w:r>
              <w:rPr>
                <w:rFonts w:ascii="Source Sans Pro" w:hAnsi="Source Sans Pro"/>
                <w:sz w:val="18"/>
              </w:rPr>
              <w:t>0</w:t>
            </w:r>
          </w:p>
        </w:tc>
        <w:tc>
          <w:tcPr>
            <w:tcW w:type="dxa" w:w="1872"/>
            <w:shd w:fill="f0f5fa" w:val="clear"/>
          </w:tcPr>
          <w:p>
            <w:r/>
            <w:r>
              <w:rPr>
                <w:rFonts w:ascii="Source Sans Pro" w:hAnsi="Source Sans Pro"/>
                <w:sz w:val="18"/>
              </w:rPr>
              <w:t>65.0</w:t>
            </w:r>
          </w:p>
        </w:tc>
      </w:tr>
      <w:tr>
        <w:tc>
          <w:tcPr>
            <w:tcW w:type="dxa" w:w="4032"/>
            <w:shd w:fill="ffffff" w:val="clear"/>
          </w:tcPr>
          <w:p>
            <w:r/>
            <w:r>
              <w:rPr>
                <w:rFonts w:ascii="Source Sans Pro" w:hAnsi="Source Sans Pro"/>
                <w:sz w:val="18"/>
              </w:rPr>
              <w:t>Powerlink BCWF Connection</w:t>
            </w:r>
          </w:p>
        </w:tc>
        <w:tc>
          <w:tcPr>
            <w:tcW w:type="dxa" w:w="1440"/>
            <w:shd w:fill="ffffff" w:val="clear"/>
          </w:tcPr>
          <w:p>
            <w:r/>
            <w:r>
              <w:rPr>
                <w:rFonts w:ascii="Source Sans Pro" w:hAnsi="Source Sans Pro"/>
                <w:sz w:val="18"/>
              </w:rPr>
              <w:t>34</w:t>
            </w:r>
          </w:p>
        </w:tc>
        <w:tc>
          <w:tcPr>
            <w:tcW w:type="dxa" w:w="1296"/>
            <w:shd w:fill="ffffff" w:val="clear"/>
          </w:tcPr>
          <w:p>
            <w:r/>
            <w:r>
              <w:rPr>
                <w:rFonts w:ascii="Source Sans Pro" w:hAnsi="Source Sans Pro"/>
                <w:sz w:val="18"/>
              </w:rPr>
              <w:t>1</w:t>
            </w:r>
          </w:p>
        </w:tc>
        <w:tc>
          <w:tcPr>
            <w:tcW w:type="dxa" w:w="1296"/>
            <w:shd w:fill="ffffff" w:val="clear"/>
          </w:tcPr>
          <w:p>
            <w:r/>
            <w:r>
              <w:rPr>
                <w:rFonts w:ascii="Source Sans Pro" w:hAnsi="Source Sans Pro"/>
                <w:sz w:val="18"/>
              </w:rPr>
              <w:t>0</w:t>
            </w:r>
          </w:p>
        </w:tc>
        <w:tc>
          <w:tcPr>
            <w:tcW w:type="dxa" w:w="1872"/>
            <w:shd w:fill="ffffff" w:val="clear"/>
          </w:tcPr>
          <w:p>
            <w:r/>
            <w:r>
              <w:rPr>
                <w:rFonts w:ascii="Source Sans Pro" w:hAnsi="Source Sans Pro"/>
                <w:sz w:val="18"/>
              </w:rPr>
              <w:t>34.0</w:t>
            </w:r>
          </w:p>
        </w:tc>
      </w:tr>
      <w:tr>
        <w:tc>
          <w:tcPr>
            <w:tcW w:type="dxa" w:w="4032"/>
            <w:shd w:fill="f0f5fa" w:val="clear"/>
          </w:tcPr>
          <w:p>
            <w:r/>
            <w:r>
              <w:rPr>
                <w:rFonts w:ascii="Source Sans Pro" w:hAnsi="Source Sans Pro"/>
                <w:sz w:val="18"/>
              </w:rPr>
              <w:t>Project Stations</w:t>
            </w:r>
          </w:p>
        </w:tc>
        <w:tc>
          <w:tcPr>
            <w:tcW w:type="dxa" w:w="1440"/>
            <w:shd w:fill="f0f5fa" w:val="clear"/>
          </w:tcPr>
          <w:p>
            <w:r/>
            <w:r>
              <w:rPr>
                <w:rFonts w:ascii="Source Sans Pro" w:hAnsi="Source Sans Pro"/>
                <w:sz w:val="18"/>
              </w:rPr>
              <w:t>31</w:t>
            </w:r>
          </w:p>
        </w:tc>
        <w:tc>
          <w:tcPr>
            <w:tcW w:type="dxa" w:w="1296"/>
            <w:shd w:fill="f0f5fa" w:val="clear"/>
          </w:tcPr>
          <w:p>
            <w:r/>
            <w:r>
              <w:rPr>
                <w:rFonts w:ascii="Source Sans Pro" w:hAnsi="Source Sans Pro"/>
                <w:sz w:val="18"/>
              </w:rPr>
              <w:t>1</w:t>
            </w:r>
          </w:p>
        </w:tc>
        <w:tc>
          <w:tcPr>
            <w:tcW w:type="dxa" w:w="1296"/>
            <w:shd w:fill="f0f5fa" w:val="clear"/>
          </w:tcPr>
          <w:p>
            <w:r/>
            <w:r>
              <w:rPr>
                <w:rFonts w:ascii="Source Sans Pro" w:hAnsi="Source Sans Pro"/>
                <w:sz w:val="18"/>
              </w:rPr>
              <w:t>0</w:t>
            </w:r>
          </w:p>
        </w:tc>
        <w:tc>
          <w:tcPr>
            <w:tcW w:type="dxa" w:w="1872"/>
            <w:shd w:fill="f0f5fa" w:val="clear"/>
          </w:tcPr>
          <w:p>
            <w:r/>
            <w:r>
              <w:rPr>
                <w:rFonts w:ascii="Source Sans Pro" w:hAnsi="Source Sans Pro"/>
                <w:sz w:val="18"/>
              </w:rPr>
              <w:t>31.0</w:t>
            </w:r>
          </w:p>
        </w:tc>
      </w:tr>
      <w:tr>
        <w:tc>
          <w:tcPr>
            <w:tcW w:type="dxa" w:w="4032"/>
            <w:shd w:fill="ffffff" w:val="clear"/>
          </w:tcPr>
          <w:p>
            <w:r/>
            <w:r>
              <w:rPr>
                <w:rFonts w:ascii="Source Sans Pro" w:hAnsi="Source Sans Pro"/>
                <w:sz w:val="18"/>
              </w:rPr>
              <w:t>ROMA01 Typhoon</w:t>
            </w:r>
          </w:p>
        </w:tc>
        <w:tc>
          <w:tcPr>
            <w:tcW w:type="dxa" w:w="1440"/>
            <w:shd w:fill="ffffff" w:val="clear"/>
          </w:tcPr>
          <w:p>
            <w:r/>
            <w:r>
              <w:rPr>
                <w:rFonts w:ascii="Source Sans Pro" w:hAnsi="Source Sans Pro"/>
                <w:sz w:val="18"/>
              </w:rPr>
              <w:t>11</w:t>
            </w:r>
          </w:p>
        </w:tc>
        <w:tc>
          <w:tcPr>
            <w:tcW w:type="dxa" w:w="1296"/>
            <w:shd w:fill="ffffff" w:val="clear"/>
          </w:tcPr>
          <w:p>
            <w:r/>
            <w:r>
              <w:rPr>
                <w:rFonts w:ascii="Source Sans Pro" w:hAnsi="Source Sans Pro"/>
                <w:sz w:val="18"/>
              </w:rPr>
              <w:t>1</w:t>
            </w:r>
          </w:p>
        </w:tc>
        <w:tc>
          <w:tcPr>
            <w:tcW w:type="dxa" w:w="1296"/>
            <w:shd w:fill="ffffff" w:val="clear"/>
          </w:tcPr>
          <w:p>
            <w:r/>
            <w:r>
              <w:rPr>
                <w:rFonts w:ascii="Source Sans Pro" w:hAnsi="Source Sans Pro"/>
                <w:sz w:val="18"/>
              </w:rPr>
              <w:t>0</w:t>
            </w:r>
          </w:p>
        </w:tc>
        <w:tc>
          <w:tcPr>
            <w:tcW w:type="dxa" w:w="1872"/>
            <w:shd w:fill="ffffff" w:val="clear"/>
          </w:tcPr>
          <w:p>
            <w:r/>
            <w:r>
              <w:rPr>
                <w:rFonts w:ascii="Source Sans Pro" w:hAnsi="Source Sans Pro"/>
                <w:sz w:val="18"/>
              </w:rPr>
              <w:t>11.0</w:t>
            </w:r>
          </w:p>
        </w:tc>
      </w:tr>
    </w:tbl>
    <w:p/>
    <w:p>
      <w:r>
        <w:rPr>
          <w:rFonts w:ascii="Source Sans Pro" w:hAnsi="Source Sans Pro"/>
          <w:b/>
          <w:i w:val="0"/>
          <w:color w:val="0B3254"/>
          <w:sz w:val="22"/>
        </w:rPr>
        <w:t>Locations needing leadership attention:</w:t>
      </w:r>
    </w:p>
    <w:tbl>
      <w:tblPr>
        <w:tblStyle w:val="TableGrid"/>
        <w:tblW w:type="auto" w:w="0"/>
        <w:jc w:val="left"/>
        <w:tblLook w:firstColumn="1" w:firstRow="1" w:lastColumn="0" w:lastRow="0" w:noHBand="0" w:noVBand="1" w:val="04A0"/>
      </w:tblPr>
      <w:tblGrid>
        <w:gridCol w:w="2085"/>
        <w:gridCol w:w="2085"/>
        <w:gridCol w:w="2085"/>
        <w:gridCol w:w="2085"/>
        <w:gridCol w:w="2085"/>
      </w:tblGrid>
      <w:tr>
        <w:tc>
          <w:tcPr>
            <w:tcW w:type="dxa" w:w="4032"/>
            <w:shd w:fill="0b3254" w:val="clear"/>
          </w:tcPr>
          <w:p>
            <w:r/>
            <w:r>
              <w:rPr>
                <w:rFonts w:ascii="Source Sans Pro" w:hAnsi="Source Sans Pro"/>
                <w:b/>
                <w:color w:val="FFFFFF"/>
                <w:sz w:val="18"/>
              </w:rPr>
              <w:t>Location</w:t>
            </w:r>
          </w:p>
        </w:tc>
        <w:tc>
          <w:tcPr>
            <w:tcW w:type="dxa" w:w="1440"/>
            <w:shd w:fill="0b3254" w:val="clear"/>
          </w:tcPr>
          <w:p>
            <w:r/>
            <w:r>
              <w:rPr>
                <w:rFonts w:ascii="Source Sans Pro" w:hAnsi="Source Sans Pro"/>
                <w:b/>
                <w:color w:val="FFFFFF"/>
                <w:sz w:val="18"/>
              </w:rPr>
              <w:t>Activities</w:t>
            </w:r>
          </w:p>
        </w:tc>
        <w:tc>
          <w:tcPr>
            <w:tcW w:type="dxa" w:w="1296"/>
            <w:shd w:fill="0b3254" w:val="clear"/>
          </w:tcPr>
          <w:p>
            <w:r/>
            <w:r>
              <w:rPr>
                <w:rFonts w:ascii="Source Sans Pro" w:hAnsi="Source Sans Pro"/>
                <w:b/>
                <w:color w:val="FFFFFF"/>
                <w:sz w:val="18"/>
              </w:rPr>
              <w:t>Events</w:t>
            </w:r>
          </w:p>
        </w:tc>
        <w:tc>
          <w:tcPr>
            <w:tcW w:type="dxa" w:w="1296"/>
            <w:shd w:fill="0b3254" w:val="clear"/>
          </w:tcPr>
          <w:p>
            <w:r/>
            <w:r>
              <w:rPr>
                <w:rFonts w:ascii="Source Sans Pro" w:hAnsi="Source Sans Pro"/>
                <w:b/>
                <w:color w:val="FFFFFF"/>
                <w:sz w:val="18"/>
              </w:rPr>
              <w:t>Serious</w:t>
            </w:r>
          </w:p>
        </w:tc>
        <w:tc>
          <w:tcPr>
            <w:tcW w:type="dxa" w:w="1872"/>
            <w:shd w:fill="0b3254" w:val="clear"/>
          </w:tcPr>
          <w:p>
            <w:r/>
            <w:r>
              <w:rPr>
                <w:rFonts w:ascii="Source Sans Pro" w:hAnsi="Source Sans Pro"/>
                <w:b/>
                <w:color w:val="FFFFFF"/>
                <w:sz w:val="18"/>
              </w:rPr>
              <w:t>Activity:Event</w:t>
            </w:r>
          </w:p>
        </w:tc>
      </w:tr>
      <w:tr>
        <w:tc>
          <w:tcPr>
            <w:tcW w:type="dxa" w:w="4032"/>
            <w:shd w:fill="f0f5fa" w:val="clear"/>
          </w:tcPr>
          <w:p>
            <w:r/>
            <w:r>
              <w:rPr>
                <w:rFonts w:ascii="Source Sans Pro" w:hAnsi="Source Sans Pro"/>
                <w:sz w:val="18"/>
              </w:rPr>
              <w:t>Far North Waters</w:t>
            </w:r>
          </w:p>
        </w:tc>
        <w:tc>
          <w:tcPr>
            <w:tcW w:type="dxa" w:w="1440"/>
            <w:shd w:fill="f0f5fa" w:val="clear"/>
          </w:tcPr>
          <w:p>
            <w:r/>
            <w:r>
              <w:rPr>
                <w:rFonts w:ascii="Source Sans Pro" w:hAnsi="Source Sans Pro"/>
                <w:sz w:val="18"/>
              </w:rPr>
              <w:t>0</w:t>
            </w:r>
          </w:p>
        </w:tc>
        <w:tc>
          <w:tcPr>
            <w:tcW w:type="dxa" w:w="1296"/>
            <w:shd w:fill="f0f5fa" w:val="clear"/>
          </w:tcPr>
          <w:p>
            <w:r/>
            <w:r>
              <w:rPr>
                <w:rFonts w:ascii="Source Sans Pro" w:hAnsi="Source Sans Pro"/>
                <w:sz w:val="18"/>
              </w:rPr>
              <w:t>112</w:t>
            </w:r>
          </w:p>
        </w:tc>
        <w:tc>
          <w:tcPr>
            <w:tcW w:type="dxa" w:w="1296"/>
            <w:shd w:fill="f0f5fa" w:val="clear"/>
          </w:tcPr>
          <w:p>
            <w:r/>
            <w:r>
              <w:rPr>
                <w:rFonts w:ascii="Source Sans Pro" w:hAnsi="Source Sans Pro"/>
                <w:sz w:val="18"/>
              </w:rPr>
              <w:t>11</w:t>
            </w:r>
          </w:p>
        </w:tc>
        <w:tc>
          <w:tcPr>
            <w:tcW w:type="dxa" w:w="1872"/>
            <w:shd w:fill="f0f5fa" w:val="clear"/>
          </w:tcPr>
          <w:p>
            <w:r/>
            <w:r>
              <w:rPr>
                <w:rFonts w:ascii="Source Sans Pro" w:hAnsi="Source Sans Pro"/>
                <w:sz w:val="18"/>
              </w:rPr>
              <w:t>0.0</w:t>
            </w:r>
          </w:p>
        </w:tc>
      </w:tr>
      <w:tr>
        <w:tc>
          <w:tcPr>
            <w:tcW w:type="dxa" w:w="4032"/>
            <w:shd w:fill="ffffff" w:val="clear"/>
          </w:tcPr>
          <w:p>
            <w:r/>
            <w:r>
              <w:rPr>
                <w:rFonts w:ascii="Source Sans Pro" w:hAnsi="Source Sans Pro"/>
                <w:sz w:val="18"/>
              </w:rPr>
              <w:t>Lines</w:t>
            </w:r>
          </w:p>
        </w:tc>
        <w:tc>
          <w:tcPr>
            <w:tcW w:type="dxa" w:w="1440"/>
            <w:shd w:fill="ffffff" w:val="clear"/>
          </w:tcPr>
          <w:p>
            <w:r/>
            <w:r>
              <w:rPr>
                <w:rFonts w:ascii="Source Sans Pro" w:hAnsi="Source Sans Pro"/>
                <w:sz w:val="18"/>
              </w:rPr>
              <w:t>486</w:t>
            </w:r>
          </w:p>
        </w:tc>
        <w:tc>
          <w:tcPr>
            <w:tcW w:type="dxa" w:w="1296"/>
            <w:shd w:fill="ffffff" w:val="clear"/>
          </w:tcPr>
          <w:p>
            <w:r/>
            <w:r>
              <w:rPr>
                <w:rFonts w:ascii="Source Sans Pro" w:hAnsi="Source Sans Pro"/>
                <w:sz w:val="18"/>
              </w:rPr>
              <w:t>130</w:t>
            </w:r>
          </w:p>
        </w:tc>
        <w:tc>
          <w:tcPr>
            <w:tcW w:type="dxa" w:w="1296"/>
            <w:shd w:fill="ffffff" w:val="clear"/>
          </w:tcPr>
          <w:p>
            <w:r/>
            <w:r>
              <w:rPr>
                <w:rFonts w:ascii="Source Sans Pro" w:hAnsi="Source Sans Pro"/>
                <w:sz w:val="18"/>
              </w:rPr>
              <w:t>6</w:t>
            </w:r>
          </w:p>
        </w:tc>
        <w:tc>
          <w:tcPr>
            <w:tcW w:type="dxa" w:w="1872"/>
            <w:shd w:fill="ffffff" w:val="clear"/>
          </w:tcPr>
          <w:p>
            <w:r/>
            <w:r>
              <w:rPr>
                <w:rFonts w:ascii="Source Sans Pro" w:hAnsi="Source Sans Pro"/>
                <w:sz w:val="18"/>
              </w:rPr>
              <w:t>3.7</w:t>
            </w:r>
          </w:p>
        </w:tc>
      </w:tr>
      <w:tr>
        <w:tc>
          <w:tcPr>
            <w:tcW w:type="dxa" w:w="4032"/>
            <w:shd w:fill="f0f5fa" w:val="clear"/>
          </w:tcPr>
          <w:p>
            <w:r/>
            <w:r>
              <w:rPr>
                <w:rFonts w:ascii="Source Sans Pro" w:hAnsi="Source Sans Pro"/>
                <w:sz w:val="18"/>
              </w:rPr>
              <w:t>Project Services</w:t>
            </w:r>
          </w:p>
        </w:tc>
        <w:tc>
          <w:tcPr>
            <w:tcW w:type="dxa" w:w="1440"/>
            <w:shd w:fill="f0f5fa" w:val="clear"/>
          </w:tcPr>
          <w:p>
            <w:r/>
            <w:r>
              <w:rPr>
                <w:rFonts w:ascii="Source Sans Pro" w:hAnsi="Source Sans Pro"/>
                <w:sz w:val="18"/>
              </w:rPr>
              <w:t>570</w:t>
            </w:r>
          </w:p>
        </w:tc>
        <w:tc>
          <w:tcPr>
            <w:tcW w:type="dxa" w:w="1296"/>
            <w:shd w:fill="f0f5fa" w:val="clear"/>
          </w:tcPr>
          <w:p>
            <w:r/>
            <w:r>
              <w:rPr>
                <w:rFonts w:ascii="Source Sans Pro" w:hAnsi="Source Sans Pro"/>
                <w:sz w:val="18"/>
              </w:rPr>
              <w:t>68</w:t>
            </w:r>
          </w:p>
        </w:tc>
        <w:tc>
          <w:tcPr>
            <w:tcW w:type="dxa" w:w="1296"/>
            <w:shd w:fill="f0f5fa" w:val="clear"/>
          </w:tcPr>
          <w:p>
            <w:r/>
            <w:r>
              <w:rPr>
                <w:rFonts w:ascii="Source Sans Pro" w:hAnsi="Source Sans Pro"/>
                <w:sz w:val="18"/>
              </w:rPr>
              <w:t>4</w:t>
            </w:r>
          </w:p>
        </w:tc>
        <w:tc>
          <w:tcPr>
            <w:tcW w:type="dxa" w:w="1872"/>
            <w:shd w:fill="f0f5fa" w:val="clear"/>
          </w:tcPr>
          <w:p>
            <w:r/>
            <w:r>
              <w:rPr>
                <w:rFonts w:ascii="Source Sans Pro" w:hAnsi="Source Sans Pro"/>
                <w:sz w:val="18"/>
              </w:rPr>
              <w:t>8.4</w:t>
            </w:r>
          </w:p>
        </w:tc>
      </w:tr>
      <w:tr>
        <w:tc>
          <w:tcPr>
            <w:tcW w:type="dxa" w:w="4032"/>
            <w:shd w:fill="ffffff" w:val="clear"/>
          </w:tcPr>
          <w:p>
            <w:r/>
            <w:r>
              <w:rPr>
                <w:rFonts w:ascii="Source Sans Pro" w:hAnsi="Source Sans Pro"/>
                <w:sz w:val="18"/>
              </w:rPr>
              <w:t>Mechanical - North</w:t>
            </w:r>
          </w:p>
        </w:tc>
        <w:tc>
          <w:tcPr>
            <w:tcW w:type="dxa" w:w="1440"/>
            <w:shd w:fill="ffffff" w:val="clear"/>
          </w:tcPr>
          <w:p>
            <w:r/>
            <w:r>
              <w:rPr>
                <w:rFonts w:ascii="Source Sans Pro" w:hAnsi="Source Sans Pro"/>
                <w:sz w:val="18"/>
              </w:rPr>
              <w:t>16</w:t>
            </w:r>
          </w:p>
        </w:tc>
        <w:tc>
          <w:tcPr>
            <w:tcW w:type="dxa" w:w="1296"/>
            <w:shd w:fill="ffffff" w:val="clear"/>
          </w:tcPr>
          <w:p>
            <w:r/>
            <w:r>
              <w:rPr>
                <w:rFonts w:ascii="Source Sans Pro" w:hAnsi="Source Sans Pro"/>
                <w:sz w:val="18"/>
              </w:rPr>
              <w:t>26</w:t>
            </w:r>
          </w:p>
        </w:tc>
        <w:tc>
          <w:tcPr>
            <w:tcW w:type="dxa" w:w="1296"/>
            <w:shd w:fill="ffffff" w:val="clear"/>
          </w:tcPr>
          <w:p>
            <w:r/>
            <w:r>
              <w:rPr>
                <w:rFonts w:ascii="Source Sans Pro" w:hAnsi="Source Sans Pro"/>
                <w:sz w:val="18"/>
              </w:rPr>
              <w:t>4</w:t>
            </w:r>
          </w:p>
        </w:tc>
        <w:tc>
          <w:tcPr>
            <w:tcW w:type="dxa" w:w="1872"/>
            <w:shd w:fill="ffffff" w:val="clear"/>
          </w:tcPr>
          <w:p>
            <w:r/>
            <w:r>
              <w:rPr>
                <w:rFonts w:ascii="Source Sans Pro" w:hAnsi="Source Sans Pro"/>
                <w:sz w:val="18"/>
              </w:rPr>
              <w:t>0.6</w:t>
            </w:r>
          </w:p>
        </w:tc>
      </w:tr>
      <w:tr>
        <w:tc>
          <w:tcPr>
            <w:tcW w:type="dxa" w:w="4032"/>
            <w:shd w:fill="f0f5fa" w:val="clear"/>
          </w:tcPr>
          <w:p>
            <w:r/>
            <w:r>
              <w:rPr>
                <w:rFonts w:ascii="Source Sans Pro" w:hAnsi="Source Sans Pro"/>
                <w:sz w:val="18"/>
              </w:rPr>
              <w:t>Yallourn Station</w:t>
            </w:r>
          </w:p>
        </w:tc>
        <w:tc>
          <w:tcPr>
            <w:tcW w:type="dxa" w:w="1440"/>
            <w:shd w:fill="f0f5fa" w:val="clear"/>
          </w:tcPr>
          <w:p>
            <w:r/>
            <w:r>
              <w:rPr>
                <w:rFonts w:ascii="Source Sans Pro" w:hAnsi="Source Sans Pro"/>
                <w:sz w:val="18"/>
              </w:rPr>
              <w:t>0</w:t>
            </w:r>
          </w:p>
        </w:tc>
        <w:tc>
          <w:tcPr>
            <w:tcW w:type="dxa" w:w="1296"/>
            <w:shd w:fill="f0f5fa" w:val="clear"/>
          </w:tcPr>
          <w:p>
            <w:r/>
            <w:r>
              <w:rPr>
                <w:rFonts w:ascii="Source Sans Pro" w:hAnsi="Source Sans Pro"/>
                <w:sz w:val="18"/>
              </w:rPr>
              <w:t>18</w:t>
            </w:r>
          </w:p>
        </w:tc>
        <w:tc>
          <w:tcPr>
            <w:tcW w:type="dxa" w:w="1296"/>
            <w:shd w:fill="f0f5fa" w:val="clear"/>
          </w:tcPr>
          <w:p>
            <w:r/>
            <w:r>
              <w:rPr>
                <w:rFonts w:ascii="Source Sans Pro" w:hAnsi="Source Sans Pro"/>
                <w:sz w:val="18"/>
              </w:rPr>
              <w:t>4</w:t>
            </w:r>
          </w:p>
        </w:tc>
        <w:tc>
          <w:tcPr>
            <w:tcW w:type="dxa" w:w="1872"/>
            <w:shd w:fill="f0f5fa" w:val="clear"/>
          </w:tcPr>
          <w:p>
            <w:r/>
            <w:r>
              <w:rPr>
                <w:rFonts w:ascii="Source Sans Pro" w:hAnsi="Source Sans Pro"/>
                <w:sz w:val="18"/>
              </w:rPr>
              <w:t>0.0</w:t>
            </w:r>
          </w:p>
        </w:tc>
      </w:tr>
      <w:tr>
        <w:tc>
          <w:tcPr>
            <w:tcW w:type="dxa" w:w="4032"/>
            <w:shd w:fill="ffffff" w:val="clear"/>
          </w:tcPr>
          <w:p>
            <w:r/>
            <w:r>
              <w:rPr>
                <w:rFonts w:ascii="Source Sans Pro" w:hAnsi="Source Sans Pro"/>
                <w:sz w:val="18"/>
              </w:rPr>
              <w:t>Stations</w:t>
            </w:r>
          </w:p>
        </w:tc>
        <w:tc>
          <w:tcPr>
            <w:tcW w:type="dxa" w:w="1440"/>
            <w:shd w:fill="ffffff" w:val="clear"/>
          </w:tcPr>
          <w:p>
            <w:r/>
            <w:r>
              <w:rPr>
                <w:rFonts w:ascii="Source Sans Pro" w:hAnsi="Source Sans Pro"/>
                <w:sz w:val="18"/>
              </w:rPr>
              <w:t>888</w:t>
            </w:r>
          </w:p>
        </w:tc>
        <w:tc>
          <w:tcPr>
            <w:tcW w:type="dxa" w:w="1296"/>
            <w:shd w:fill="ffffff" w:val="clear"/>
          </w:tcPr>
          <w:p>
            <w:r/>
            <w:r>
              <w:rPr>
                <w:rFonts w:ascii="Source Sans Pro" w:hAnsi="Source Sans Pro"/>
                <w:sz w:val="18"/>
              </w:rPr>
              <w:t>135</w:t>
            </w:r>
          </w:p>
        </w:tc>
        <w:tc>
          <w:tcPr>
            <w:tcW w:type="dxa" w:w="1296"/>
            <w:shd w:fill="ffffff" w:val="clear"/>
          </w:tcPr>
          <w:p>
            <w:r/>
            <w:r>
              <w:rPr>
                <w:rFonts w:ascii="Source Sans Pro" w:hAnsi="Source Sans Pro"/>
                <w:sz w:val="18"/>
              </w:rPr>
              <w:t>3</w:t>
            </w:r>
          </w:p>
        </w:tc>
        <w:tc>
          <w:tcPr>
            <w:tcW w:type="dxa" w:w="1872"/>
            <w:shd w:fill="ffffff" w:val="clear"/>
          </w:tcPr>
          <w:p>
            <w:r/>
            <w:r>
              <w:rPr>
                <w:rFonts w:ascii="Source Sans Pro" w:hAnsi="Source Sans Pro"/>
                <w:sz w:val="18"/>
              </w:rPr>
              <w:t>6.6</w:t>
            </w:r>
          </w:p>
        </w:tc>
      </w:tr>
    </w:tbl>
    <w:p/>
    <w:p>
      <w:pPr>
        <w:pStyle w:val="Heading2"/>
      </w:pPr>
      <w:r>
        <w:t>7.4 Event Spike Periods</w:t>
      </w:r>
    </w:p>
    <w:p>
      <w:r>
        <w:rPr>
          <w:rFonts w:ascii="Source Sans Pro" w:hAnsi="Source Sans Pro"/>
          <w:b w:val="0"/>
          <w:i w:val="0"/>
          <w:color w:val="0B3254"/>
          <w:sz w:val="22"/>
        </w:rPr>
        <w:t>The following periods recorded above-average event counts coinciding with below-average leading-activity volumes. These periods may warrant retrospective review.</w:t>
      </w:r>
    </w:p>
    <w:p>
      <w:pPr>
        <w:pStyle w:val="ListBullet"/>
      </w:pPr>
      <w:r>
        <w:rPr>
          <w:rFonts w:ascii="Source Sans Pro" w:hAnsi="Source Sans Pro"/>
          <w:b w:val="0"/>
          <w:i w:val="0"/>
          <w:color w:val="0B3254"/>
          <w:sz w:val="22"/>
        </w:rPr>
        <w:t>2024-01</w:t>
      </w:r>
    </w:p>
    <w:p>
      <w:pPr>
        <w:pStyle w:val="ListBullet"/>
      </w:pPr>
      <w:r>
        <w:rPr>
          <w:rFonts w:ascii="Source Sans Pro" w:hAnsi="Source Sans Pro"/>
          <w:b w:val="0"/>
          <w:i w:val="0"/>
          <w:color w:val="0B3254"/>
          <w:sz w:val="22"/>
        </w:rPr>
        <w:t>2024-05</w:t>
      </w:r>
    </w:p>
    <w:p>
      <w:pPr>
        <w:pStyle w:val="ListBullet"/>
      </w:pPr>
      <w:r>
        <w:rPr>
          <w:rFonts w:ascii="Source Sans Pro" w:hAnsi="Source Sans Pro"/>
          <w:b w:val="0"/>
          <w:i w:val="0"/>
          <w:color w:val="0B3254"/>
          <w:sz w:val="22"/>
        </w:rPr>
        <w:t>2024-07</w:t>
      </w:r>
    </w:p>
    <w:p>
      <w:pPr>
        <w:pStyle w:val="ListBullet"/>
      </w:pPr>
      <w:r>
        <w:rPr>
          <w:rFonts w:ascii="Source Sans Pro" w:hAnsi="Source Sans Pro"/>
          <w:b w:val="0"/>
          <w:i w:val="0"/>
          <w:color w:val="0B3254"/>
          <w:sz w:val="22"/>
        </w:rPr>
        <w:t>2024-10</w:t>
      </w:r>
    </w:p>
    <w:p/>
    <w:p>
      <w:pPr>
        <w:pStyle w:val="Heading2"/>
      </w:pPr>
      <w:r>
        <w:t>7.5 Topic Alignment Observation</w:t>
      </w:r>
    </w:p>
    <w:p>
      <w:r>
        <w:rPr>
          <w:rFonts w:ascii="Source Sans Pro" w:hAnsi="Source Sans Pro"/>
          <w:b w:val="0"/>
          <w:i w:val="0"/>
          <w:color w:val="0B3254"/>
          <w:sz w:val="22"/>
        </w:rPr>
        <w:t>LLC topic focus and event root causes are compared to identify alignment gaps. Where event root causes diverge from LLC discussion topics, this may indicate that leading activity conversations are not yet targeting the highest-risk themes.</w:t>
      </w:r>
    </w:p>
    <w:p>
      <w:r>
        <w:rPr>
          <w:rFonts w:ascii="Source Sans Pro" w:hAnsi="Source Sans Pro"/>
          <w:b/>
          <w:i w:val="0"/>
          <w:color w:val="0B3254"/>
          <w:sz w:val="22"/>
        </w:rPr>
        <w:t>Top event root causes:</w:t>
      </w:r>
    </w:p>
    <w:p>
      <w:pPr>
        <w:pStyle w:val="ListBullet"/>
      </w:pPr>
      <w:r>
        <w:rPr>
          <w:rFonts w:ascii="Source Sans Pro" w:hAnsi="Source Sans Pro"/>
          <w:b w:val="0"/>
          <w:i w:val="0"/>
          <w:color w:val="0B3254"/>
          <w:sz w:val="22"/>
        </w:rPr>
        <w:t>External Factors</w:t>
      </w:r>
    </w:p>
    <w:p>
      <w:pPr>
        <w:pStyle w:val="ListBullet"/>
      </w:pPr>
      <w:r>
        <w:rPr>
          <w:rFonts w:ascii="Source Sans Pro" w:hAnsi="Source Sans Pro"/>
          <w:b w:val="0"/>
          <w:i w:val="0"/>
          <w:color w:val="0B3254"/>
          <w:sz w:val="22"/>
        </w:rPr>
        <w:t>People</w:t>
      </w:r>
    </w:p>
    <w:p>
      <w:pPr>
        <w:pStyle w:val="ListBullet"/>
      </w:pPr>
      <w:r>
        <w:rPr>
          <w:rFonts w:ascii="Source Sans Pro" w:hAnsi="Source Sans Pro"/>
          <w:b w:val="0"/>
          <w:i w:val="0"/>
          <w:color w:val="0B3254"/>
          <w:sz w:val="22"/>
        </w:rPr>
        <w:t>Production / Delivery</w:t>
      </w:r>
    </w:p>
    <w:p>
      <w:pPr>
        <w:pStyle w:val="ListBullet"/>
      </w:pPr>
      <w:r>
        <w:rPr>
          <w:rFonts w:ascii="Source Sans Pro" w:hAnsi="Source Sans Pro"/>
          <w:b w:val="0"/>
          <w:i w:val="0"/>
          <w:color w:val="0B3254"/>
          <w:sz w:val="22"/>
        </w:rPr>
        <w:t>Process</w:t>
      </w:r>
    </w:p>
    <w:p>
      <w:pPr>
        <w:pStyle w:val="ListBullet"/>
      </w:pPr>
      <w:r>
        <w:rPr>
          <w:rFonts w:ascii="Source Sans Pro" w:hAnsi="Source Sans Pro"/>
          <w:b w:val="0"/>
          <w:i w:val="0"/>
          <w:color w:val="0B3254"/>
          <w:sz w:val="22"/>
        </w:rPr>
        <w:t>Planning</w:t>
      </w:r>
    </w:p>
    <w:p/>
    <w:p>
      <w:r>
        <w:rPr>
          <w:rFonts w:ascii="Source Sans Pro" w:hAnsi="Source Sans Pro"/>
          <w:b w:val="0"/>
          <w:i w:val="0"/>
          <w:color w:val="64748B"/>
          <w:sz w:val="20"/>
        </w:rPr>
        <w:t>Monthly comparison covers periods where both datasets have data. Short overlapping periods reduce the reliability of any trend observations. This analysis is associative only.</w:t>
      </w:r>
    </w:p>
    <w:p>
      <w:r>
        <w:br w:type="page"/>
      </w:r>
    </w:p>
    <w:p>
      <w:pPr>
        <w:pStyle w:val="Heading1"/>
      </w:pPr>
      <w:r>
        <w:t>8. Leader Focus Areas</w:t>
      </w:r>
    </w:p>
    <w:p>
      <w:r>
        <w:rPr>
          <w:rFonts w:ascii="Source Sans Pro" w:hAnsi="Source Sans Pro"/>
          <w:b w:val="0"/>
          <w:i w:val="0"/>
          <w:color w:val="0B3254"/>
          <w:sz w:val="22"/>
        </w:rPr>
        <w:t>This section identifies Business Units and leaders that warrant specific leadership attention based on activity volumes, event rates, and observed trends.</w:t>
      </w:r>
    </w:p>
    <w:p/>
    <w:p>
      <w:pPr>
        <w:pStyle w:val="Heading2"/>
      </w:pPr>
      <w:r>
        <w:t>8.1 Business Unit Activity and Event Summary</w:t>
      </w:r>
    </w:p>
    <w:tbl>
      <w:tblPr>
        <w:tblStyle w:val="TableGrid"/>
        <w:tblW w:type="auto" w:w="0"/>
        <w:jc w:val="left"/>
        <w:tblLook w:firstColumn="1" w:firstRow="1" w:lastColumn="0" w:lastRow="0" w:noHBand="0" w:noVBand="1" w:val="04A0"/>
      </w:tblPr>
      <w:tblGrid>
        <w:gridCol w:w="3475"/>
        <w:gridCol w:w="3475"/>
        <w:gridCol w:w="3475"/>
      </w:tblGrid>
      <w:tr>
        <w:tc>
          <w:tcPr>
            <w:tcW w:type="dxa" w:w="4320"/>
            <w:shd w:fill="0b3254" w:val="clear"/>
          </w:tcPr>
          <w:p>
            <w:r/>
            <w:r>
              <w:rPr>
                <w:rFonts w:ascii="Source Sans Pro" w:hAnsi="Source Sans Pro"/>
                <w:b/>
                <w:color w:val="FFFFFF"/>
                <w:sz w:val="18"/>
              </w:rPr>
              <w:t>Business Unit</w:t>
            </w:r>
          </w:p>
        </w:tc>
        <w:tc>
          <w:tcPr>
            <w:tcW w:type="dxa" w:w="2880"/>
            <w:shd w:fill="0b3254" w:val="clear"/>
          </w:tcPr>
          <w:p>
            <w:r/>
            <w:r>
              <w:rPr>
                <w:rFonts w:ascii="Source Sans Pro" w:hAnsi="Source Sans Pro"/>
                <w:b/>
                <w:color w:val="FFFFFF"/>
                <w:sz w:val="18"/>
              </w:rPr>
              <w:t>Leading Activities</w:t>
            </w:r>
          </w:p>
        </w:tc>
        <w:tc>
          <w:tcPr>
            <w:tcW w:type="dxa" w:w="2160"/>
            <w:shd w:fill="0b3254" w:val="clear"/>
          </w:tcPr>
          <w:p>
            <w:r/>
            <w:r>
              <w:rPr>
                <w:rFonts w:ascii="Source Sans Pro" w:hAnsi="Source Sans Pro"/>
                <w:b/>
                <w:color w:val="FFFFFF"/>
                <w:sz w:val="18"/>
              </w:rPr>
              <w:t>Events</w:t>
            </w:r>
          </w:p>
        </w:tc>
      </w:tr>
      <w:tr>
        <w:tc>
          <w:tcPr>
            <w:tcW w:type="dxa" w:w="4320"/>
            <w:shd w:fill="f0f5fa" w:val="clear"/>
          </w:tcPr>
          <w:p>
            <w:r/>
            <w:r>
              <w:rPr>
                <w:rFonts w:ascii="Source Sans Pro" w:hAnsi="Source Sans Pro"/>
                <w:sz w:val="18"/>
              </w:rPr>
              <w:t>Energy &amp; Renewables</w:t>
            </w:r>
          </w:p>
        </w:tc>
        <w:tc>
          <w:tcPr>
            <w:tcW w:type="dxa" w:w="2880"/>
            <w:shd w:fill="f0f5fa" w:val="clear"/>
          </w:tcPr>
          <w:p>
            <w:r/>
            <w:r>
              <w:rPr>
                <w:rFonts w:ascii="Source Sans Pro" w:hAnsi="Source Sans Pro"/>
                <w:sz w:val="18"/>
              </w:rPr>
              <w:t>5215</w:t>
            </w:r>
          </w:p>
        </w:tc>
        <w:tc>
          <w:tcPr>
            <w:tcW w:type="dxa" w:w="2160"/>
            <w:shd w:fill="f0f5fa" w:val="clear"/>
          </w:tcPr>
          <w:p>
            <w:r/>
            <w:r>
              <w:rPr>
                <w:rFonts w:ascii="Source Sans Pro" w:hAnsi="Source Sans Pro"/>
                <w:sz w:val="18"/>
              </w:rPr>
              <w:t>932</w:t>
            </w:r>
          </w:p>
        </w:tc>
      </w:tr>
      <w:tr>
        <w:tc>
          <w:tcPr>
            <w:tcW w:type="dxa" w:w="4320"/>
            <w:shd w:fill="ffffff" w:val="clear"/>
          </w:tcPr>
          <w:p>
            <w:r/>
            <w:r>
              <w:rPr>
                <w:rFonts w:ascii="Source Sans Pro" w:hAnsi="Source Sans Pro"/>
                <w:sz w:val="18"/>
              </w:rPr>
              <w:t>Professional Services</w:t>
            </w:r>
          </w:p>
        </w:tc>
        <w:tc>
          <w:tcPr>
            <w:tcW w:type="dxa" w:w="2880"/>
            <w:shd w:fill="ffffff" w:val="clear"/>
          </w:tcPr>
          <w:p>
            <w:r/>
            <w:r>
              <w:rPr>
                <w:rFonts w:ascii="Source Sans Pro" w:hAnsi="Source Sans Pro"/>
                <w:sz w:val="18"/>
              </w:rPr>
              <w:t>186</w:t>
            </w:r>
          </w:p>
        </w:tc>
        <w:tc>
          <w:tcPr>
            <w:tcW w:type="dxa" w:w="2160"/>
            <w:shd w:fill="ffffff" w:val="clear"/>
          </w:tcPr>
          <w:p>
            <w:r/>
            <w:r>
              <w:rPr>
                <w:rFonts w:ascii="Source Sans Pro" w:hAnsi="Source Sans Pro"/>
                <w:sz w:val="18"/>
              </w:rPr>
              <w:t>2</w:t>
            </w:r>
          </w:p>
        </w:tc>
      </w:tr>
      <w:tr>
        <w:tc>
          <w:tcPr>
            <w:tcW w:type="dxa" w:w="4320"/>
            <w:shd w:fill="f0f5fa" w:val="clear"/>
          </w:tcPr>
          <w:p>
            <w:r/>
            <w:r>
              <w:rPr>
                <w:rFonts w:ascii="Source Sans Pro" w:hAnsi="Source Sans Pro"/>
                <w:sz w:val="18"/>
              </w:rPr>
              <w:t>Resources</w:t>
            </w:r>
          </w:p>
        </w:tc>
        <w:tc>
          <w:tcPr>
            <w:tcW w:type="dxa" w:w="2880"/>
            <w:shd w:fill="f0f5fa" w:val="clear"/>
          </w:tcPr>
          <w:p>
            <w:r/>
            <w:r>
              <w:rPr>
                <w:rFonts w:ascii="Source Sans Pro" w:hAnsi="Source Sans Pro"/>
                <w:sz w:val="18"/>
              </w:rPr>
              <w:t>8871</w:t>
            </w:r>
          </w:p>
        </w:tc>
        <w:tc>
          <w:tcPr>
            <w:tcW w:type="dxa" w:w="2160"/>
            <w:shd w:fill="f0f5fa" w:val="clear"/>
          </w:tcPr>
          <w:p>
            <w:r/>
            <w:r>
              <w:rPr>
                <w:rFonts w:ascii="Source Sans Pro" w:hAnsi="Source Sans Pro"/>
                <w:sz w:val="18"/>
              </w:rPr>
              <w:t>1036</w:t>
            </w:r>
          </w:p>
        </w:tc>
      </w:tr>
      <w:tr>
        <w:tc>
          <w:tcPr>
            <w:tcW w:type="dxa" w:w="4320"/>
            <w:shd w:fill="ffffff" w:val="clear"/>
          </w:tcPr>
          <w:p>
            <w:r/>
            <w:r>
              <w:rPr>
                <w:rFonts w:ascii="Source Sans Pro" w:hAnsi="Source Sans Pro"/>
                <w:sz w:val="18"/>
              </w:rPr>
              <w:t>Sector Overhead</w:t>
            </w:r>
          </w:p>
        </w:tc>
        <w:tc>
          <w:tcPr>
            <w:tcW w:type="dxa" w:w="2880"/>
            <w:shd w:fill="ffffff" w:val="clear"/>
          </w:tcPr>
          <w:p>
            <w:r/>
            <w:r>
              <w:rPr>
                <w:rFonts w:ascii="Source Sans Pro" w:hAnsi="Source Sans Pro"/>
                <w:sz w:val="18"/>
              </w:rPr>
              <w:t>42</w:t>
            </w:r>
          </w:p>
        </w:tc>
        <w:tc>
          <w:tcPr>
            <w:tcW w:type="dxa" w:w="2160"/>
            <w:shd w:fill="ffffff" w:val="clear"/>
          </w:tcPr>
          <w:p>
            <w:r/>
            <w:r>
              <w:rPr>
                <w:rFonts w:ascii="Source Sans Pro" w:hAnsi="Source Sans Pro"/>
                <w:sz w:val="18"/>
              </w:rPr>
              <w:t>1</w:t>
            </w:r>
          </w:p>
        </w:tc>
      </w:tr>
      <w:tr>
        <w:tc>
          <w:tcPr>
            <w:tcW w:type="dxa" w:w="4320"/>
            <w:shd w:fill="f0f5fa" w:val="clear"/>
          </w:tcPr>
          <w:p>
            <w:r/>
            <w:r>
              <w:rPr>
                <w:rFonts w:ascii="Source Sans Pro" w:hAnsi="Source Sans Pro"/>
                <w:sz w:val="18"/>
              </w:rPr>
              <w:t>Water &amp; Environmental Services</w:t>
            </w:r>
          </w:p>
        </w:tc>
        <w:tc>
          <w:tcPr>
            <w:tcW w:type="dxa" w:w="2880"/>
            <w:shd w:fill="f0f5fa" w:val="clear"/>
          </w:tcPr>
          <w:p>
            <w:r/>
            <w:r>
              <w:rPr>
                <w:rFonts w:ascii="Source Sans Pro" w:hAnsi="Source Sans Pro"/>
                <w:sz w:val="18"/>
              </w:rPr>
              <w:t>5159</w:t>
            </w:r>
          </w:p>
        </w:tc>
        <w:tc>
          <w:tcPr>
            <w:tcW w:type="dxa" w:w="2160"/>
            <w:shd w:fill="f0f5fa" w:val="clear"/>
          </w:tcPr>
          <w:p>
            <w:r/>
            <w:r>
              <w:rPr>
                <w:rFonts w:ascii="Source Sans Pro" w:hAnsi="Source Sans Pro"/>
                <w:sz w:val="18"/>
              </w:rPr>
              <w:t>650</w:t>
            </w:r>
          </w:p>
        </w:tc>
      </w:tr>
    </w:tbl>
    <w:p/>
    <w:p>
      <w:pPr>
        <w:pStyle w:val="Heading2"/>
      </w:pPr>
      <w:r>
        <w:t>8.2 Declining Activity Units</w:t>
      </w:r>
    </w:p>
    <w:p>
      <w:r>
        <w:rPr>
          <w:rFonts w:ascii="Source Sans Pro" w:hAnsi="Source Sans Pro"/>
          <w:b w:val="0"/>
          <w:i w:val="0"/>
          <w:color w:val="0B3254"/>
          <w:sz w:val="22"/>
        </w:rPr>
        <w:t>The following Business Units recorded significantly lower leading-activity volumes in the second half of the analysis period compared to the first half. Leaders in these units should be engaged to understand and address the decline.</w:t>
      </w:r>
    </w:p>
    <w:p>
      <w:pPr>
        <w:pStyle w:val="ListBullet"/>
      </w:pPr>
      <w:r>
        <w:rPr>
          <w:rFonts w:ascii="Source Sans Pro" w:hAnsi="Source Sans Pro"/>
          <w:b w:val="0"/>
          <w:i w:val="0"/>
          <w:color w:val="0B3254"/>
          <w:sz w:val="22"/>
        </w:rPr>
        <w:t>Sector Overhead</w:t>
      </w:r>
    </w:p>
    <w:p/>
    <w:p>
      <w:pPr>
        <w:pStyle w:val="Heading2"/>
      </w:pPr>
      <w:r>
        <w:t>8.3 Leadership Watchouts from Two-Year Safety Energy Trends</w:t>
      </w:r>
    </w:p>
    <w:p>
      <w:pPr>
        <w:pStyle w:val="ListBullet"/>
      </w:pPr>
      <w:r>
        <w:rPr>
          <w:rFonts w:ascii="Source Sans Pro" w:hAnsi="Source Sans Pro"/>
          <w:b w:val="0"/>
          <w:i w:val="0"/>
          <w:color w:val="0B3254"/>
          <w:sz w:val="22"/>
        </w:rPr>
        <w:t>CCC focus on CRP Compliance, Working at Height, Hazardous Energy has reduced in the recent six months; confirm this is intentional rather than a blind spot.</w:t>
      </w:r>
    </w:p>
    <w:p>
      <w:pPr>
        <w:pStyle w:val="ListBullet"/>
      </w:pPr>
      <w:r>
        <w:rPr>
          <w:rFonts w:ascii="Source Sans Pro" w:hAnsi="Source Sans Pro"/>
          <w:b w:val="0"/>
          <w:i w:val="0"/>
          <w:color w:val="0B3254"/>
          <w:sz w:val="22"/>
        </w:rPr>
        <w:t>Previously visible themes such as CRP Compliance, Working at Height, Fatigue are appearing less often in recorded activity narratives.</w:t>
      </w:r>
    </w:p>
    <w:p>
      <w:pPr>
        <w:pStyle w:val="ListBullet"/>
      </w:pPr>
      <w:r>
        <w:rPr>
          <w:rFonts w:ascii="Source Sans Pro" w:hAnsi="Source Sans Pro"/>
          <w:b w:val="0"/>
          <w:i w:val="0"/>
          <w:color w:val="0B3254"/>
          <w:sz w:val="22"/>
        </w:rPr>
        <w:t>A relatively low share of CCCs contain clear follow-up or close-out signals, which weakens the evidence that issues identified in checks are being converted into learning and action.</w:t>
      </w:r>
    </w:p>
    <w:p>
      <w:pPr>
        <w:pStyle w:val="ListBullet"/>
      </w:pPr>
      <w:r>
        <w:rPr>
          <w:rFonts w:ascii="Source Sans Pro" w:hAnsi="Source Sans Pro"/>
          <w:b w:val="0"/>
          <w:i w:val="0"/>
          <w:color w:val="0B3254"/>
          <w:sz w:val="22"/>
        </w:rPr>
        <w:t>Rows with richer input depth are materially more likely to read as meaningful records, so populated-field depth can be used as a practical early warning metric for declining quality.</w:t>
      </w:r>
    </w:p>
    <w:p/>
    <w:p>
      <w:pPr>
        <w:pStyle w:val="Heading2"/>
      </w:pPr>
      <w:r>
        <w:t>8.4 High-Volume / Low-Value Hotspots</w:t>
      </w:r>
    </w:p>
    <w:p>
      <w:r>
        <w:rPr>
          <w:rFonts w:ascii="Source Sans Pro" w:hAnsi="Source Sans Pro"/>
          <w:b w:val="0"/>
          <w:i w:val="0"/>
          <w:color w:val="0B3254"/>
          <w:sz w:val="22"/>
        </w:rPr>
        <w:t>These areas are recording substantial activity volume, but the record quality signals suggest the activity may be drifting toward compliance-only completion rather than strong learning.</w:t>
      </w:r>
    </w:p>
    <w:p>
      <w:r>
        <w:drawing>
          <wp:inline xmlns:a="http://schemas.openxmlformats.org/drawingml/2006/main" xmlns:pic="http://schemas.openxmlformats.org/drawingml/2006/picture">
            <wp:extent cx="5303520" cy="2003187"/>
            <wp:docPr id="12" name="Picture 12"/>
            <wp:cNvGraphicFramePr>
              <a:graphicFrameLocks noChangeAspect="1"/>
            </wp:cNvGraphicFramePr>
            <a:graphic>
              <a:graphicData uri="http://schemas.openxmlformats.org/drawingml/2006/picture">
                <pic:pic>
                  <pic:nvPicPr>
                    <pic:cNvPr id="0" name="ch_low_value_units.png"/>
                    <pic:cNvPicPr/>
                  </pic:nvPicPr>
                  <pic:blipFill>
                    <a:blip r:embed="rId20"/>
                    <a:stretch>
                      <a:fillRect/>
                    </a:stretch>
                  </pic:blipFill>
                  <pic:spPr>
                    <a:xfrm>
                      <a:off x="0" y="0"/>
                      <a:ext cx="5303520" cy="2003187"/>
                    </a:xfrm>
                    <a:prstGeom prst="rect"/>
                  </pic:spPr>
                </pic:pic>
              </a:graphicData>
            </a:graphic>
          </wp:inline>
        </w:drawing>
      </w:r>
    </w:p>
    <w:p/>
    <w:tbl>
      <w:tblPr>
        <w:tblStyle w:val="TableGrid"/>
        <w:tblW w:type="auto" w:w="0"/>
        <w:jc w:val="left"/>
        <w:tblLook w:firstColumn="1" w:firstRow="1" w:lastColumn="0" w:lastRow="0" w:noHBand="0" w:noVBand="1" w:val="04A0"/>
      </w:tblPr>
      <w:tblGrid>
        <w:gridCol w:w="2085"/>
        <w:gridCol w:w="2085"/>
        <w:gridCol w:w="2085"/>
        <w:gridCol w:w="2085"/>
        <w:gridCol w:w="2085"/>
      </w:tblGrid>
      <w:tr>
        <w:tc>
          <w:tcPr>
            <w:tcW w:type="dxa" w:w="1296"/>
            <w:shd w:fill="0b3254" w:val="clear"/>
          </w:tcPr>
          <w:p>
            <w:r/>
            <w:r>
              <w:rPr>
                <w:rFonts w:ascii="Source Sans Pro" w:hAnsi="Source Sans Pro"/>
                <w:b/>
                <w:color w:val="FFFFFF"/>
                <w:sz w:val="18"/>
              </w:rPr>
              <w:t>Type</w:t>
            </w:r>
          </w:p>
        </w:tc>
        <w:tc>
          <w:tcPr>
            <w:tcW w:type="dxa" w:w="4032"/>
            <w:shd w:fill="0b3254" w:val="clear"/>
          </w:tcPr>
          <w:p>
            <w:r/>
            <w:r>
              <w:rPr>
                <w:rFonts w:ascii="Source Sans Pro" w:hAnsi="Source Sans Pro"/>
                <w:b/>
                <w:color w:val="FFFFFF"/>
                <w:sz w:val="18"/>
              </w:rPr>
              <w:t>Business Unit</w:t>
            </w:r>
          </w:p>
        </w:tc>
        <w:tc>
          <w:tcPr>
            <w:tcW w:type="dxa" w:w="1296"/>
            <w:shd w:fill="0b3254" w:val="clear"/>
          </w:tcPr>
          <w:p>
            <w:r/>
            <w:r>
              <w:rPr>
                <w:rFonts w:ascii="Source Sans Pro" w:hAnsi="Source Sans Pro"/>
                <w:b/>
                <w:color w:val="FFFFFF"/>
                <w:sz w:val="18"/>
              </w:rPr>
              <w:t>Count</w:t>
            </w:r>
          </w:p>
        </w:tc>
        <w:tc>
          <w:tcPr>
            <w:tcW w:type="dxa" w:w="1440"/>
            <w:shd w:fill="0b3254" w:val="clear"/>
          </w:tcPr>
          <w:p>
            <w:r/>
            <w:r>
              <w:rPr>
                <w:rFonts w:ascii="Source Sans Pro" w:hAnsi="Source Sans Pro"/>
                <w:b/>
                <w:color w:val="FFFFFF"/>
                <w:sz w:val="18"/>
              </w:rPr>
              <w:t>Avg Quality</w:t>
            </w:r>
          </w:p>
        </w:tc>
        <w:tc>
          <w:tcPr>
            <w:tcW w:type="dxa" w:w="1440"/>
            <w:shd w:fill="0b3254" w:val="clear"/>
          </w:tcPr>
          <w:p>
            <w:r/>
            <w:r>
              <w:rPr>
                <w:rFonts w:ascii="Source Sans Pro" w:hAnsi="Source Sans Pro"/>
                <w:b/>
                <w:color w:val="FFFFFF"/>
                <w:sz w:val="18"/>
              </w:rPr>
              <w:t>Shallow</w:t>
            </w:r>
          </w:p>
        </w:tc>
      </w:tr>
      <w:tr>
        <w:tc>
          <w:tcPr>
            <w:tcW w:type="dxa" w:w="1296"/>
            <w:shd w:fill="f0f5fa" w:val="clear"/>
          </w:tcPr>
          <w:p>
            <w:r/>
            <w:r>
              <w:rPr>
                <w:rFonts w:ascii="Source Sans Pro" w:hAnsi="Source Sans Pro"/>
                <w:sz w:val="18"/>
              </w:rPr>
              <w:t>CCC</w:t>
            </w:r>
          </w:p>
        </w:tc>
        <w:tc>
          <w:tcPr>
            <w:tcW w:type="dxa" w:w="4032"/>
            <w:shd w:fill="f0f5fa" w:val="clear"/>
          </w:tcPr>
          <w:p>
            <w:r/>
            <w:r>
              <w:rPr>
                <w:rFonts w:ascii="Source Sans Pro" w:hAnsi="Source Sans Pro"/>
                <w:sz w:val="18"/>
              </w:rPr>
              <w:t>Resources</w:t>
            </w:r>
          </w:p>
        </w:tc>
        <w:tc>
          <w:tcPr>
            <w:tcW w:type="dxa" w:w="1296"/>
            <w:shd w:fill="f0f5fa" w:val="clear"/>
          </w:tcPr>
          <w:p>
            <w:r/>
            <w:r>
              <w:rPr>
                <w:rFonts w:ascii="Source Sans Pro" w:hAnsi="Source Sans Pro"/>
                <w:sz w:val="18"/>
              </w:rPr>
              <w:t>2869</w:t>
            </w:r>
          </w:p>
        </w:tc>
        <w:tc>
          <w:tcPr>
            <w:tcW w:type="dxa" w:w="1440"/>
            <w:shd w:fill="f0f5fa" w:val="clear"/>
          </w:tcPr>
          <w:p>
            <w:r/>
            <w:r>
              <w:rPr>
                <w:rFonts w:ascii="Source Sans Pro" w:hAnsi="Source Sans Pro"/>
                <w:sz w:val="18"/>
              </w:rPr>
              <w:t>28.7</w:t>
            </w:r>
          </w:p>
        </w:tc>
        <w:tc>
          <w:tcPr>
            <w:tcW w:type="dxa" w:w="1440"/>
            <w:shd w:fill="f0f5fa" w:val="clear"/>
          </w:tcPr>
          <w:p>
            <w:r/>
            <w:r>
              <w:rPr>
                <w:rFonts w:ascii="Source Sans Pro" w:hAnsi="Source Sans Pro"/>
                <w:sz w:val="18"/>
              </w:rPr>
              <w:t>67.7%</w:t>
            </w:r>
          </w:p>
        </w:tc>
      </w:tr>
      <w:tr>
        <w:tc>
          <w:tcPr>
            <w:tcW w:type="dxa" w:w="1296"/>
            <w:shd w:fill="ffffff" w:val="clear"/>
          </w:tcPr>
          <w:p>
            <w:r/>
            <w:r>
              <w:rPr>
                <w:rFonts w:ascii="Source Sans Pro" w:hAnsi="Source Sans Pro"/>
                <w:sz w:val="18"/>
              </w:rPr>
              <w:t>CCC</w:t>
            </w:r>
          </w:p>
        </w:tc>
        <w:tc>
          <w:tcPr>
            <w:tcW w:type="dxa" w:w="4032"/>
            <w:shd w:fill="ffffff" w:val="clear"/>
          </w:tcPr>
          <w:p>
            <w:r/>
            <w:r>
              <w:rPr>
                <w:rFonts w:ascii="Source Sans Pro" w:hAnsi="Source Sans Pro"/>
                <w:sz w:val="18"/>
              </w:rPr>
              <w:t>Water &amp; Environmental Services</w:t>
            </w:r>
          </w:p>
        </w:tc>
        <w:tc>
          <w:tcPr>
            <w:tcW w:type="dxa" w:w="1296"/>
            <w:shd w:fill="ffffff" w:val="clear"/>
          </w:tcPr>
          <w:p>
            <w:r/>
            <w:r>
              <w:rPr>
                <w:rFonts w:ascii="Source Sans Pro" w:hAnsi="Source Sans Pro"/>
                <w:sz w:val="18"/>
              </w:rPr>
              <w:t>2567</w:t>
            </w:r>
          </w:p>
        </w:tc>
        <w:tc>
          <w:tcPr>
            <w:tcW w:type="dxa" w:w="1440"/>
            <w:shd w:fill="ffffff" w:val="clear"/>
          </w:tcPr>
          <w:p>
            <w:r/>
            <w:r>
              <w:rPr>
                <w:rFonts w:ascii="Source Sans Pro" w:hAnsi="Source Sans Pro"/>
                <w:sz w:val="18"/>
              </w:rPr>
              <w:t>27.4</w:t>
            </w:r>
          </w:p>
        </w:tc>
        <w:tc>
          <w:tcPr>
            <w:tcW w:type="dxa" w:w="1440"/>
            <w:shd w:fill="ffffff" w:val="clear"/>
          </w:tcPr>
          <w:p>
            <w:r/>
            <w:r>
              <w:rPr>
                <w:rFonts w:ascii="Source Sans Pro" w:hAnsi="Source Sans Pro"/>
                <w:sz w:val="18"/>
              </w:rPr>
              <w:t>70.5%</w:t>
            </w:r>
          </w:p>
        </w:tc>
      </w:tr>
      <w:tr>
        <w:tc>
          <w:tcPr>
            <w:tcW w:type="dxa" w:w="1296"/>
            <w:shd w:fill="f0f5fa" w:val="clear"/>
          </w:tcPr>
          <w:p>
            <w:r/>
            <w:r>
              <w:rPr>
                <w:rFonts w:ascii="Source Sans Pro" w:hAnsi="Source Sans Pro"/>
                <w:sz w:val="18"/>
              </w:rPr>
              <w:t>OCC</w:t>
            </w:r>
          </w:p>
        </w:tc>
        <w:tc>
          <w:tcPr>
            <w:tcW w:type="dxa" w:w="4032"/>
            <w:shd w:fill="f0f5fa" w:val="clear"/>
          </w:tcPr>
          <w:p>
            <w:r/>
            <w:r>
              <w:rPr>
                <w:rFonts w:ascii="Source Sans Pro" w:hAnsi="Source Sans Pro"/>
                <w:sz w:val="18"/>
              </w:rPr>
              <w:t>Resources</w:t>
            </w:r>
          </w:p>
        </w:tc>
        <w:tc>
          <w:tcPr>
            <w:tcW w:type="dxa" w:w="1296"/>
            <w:shd w:fill="f0f5fa" w:val="clear"/>
          </w:tcPr>
          <w:p>
            <w:r/>
            <w:r>
              <w:rPr>
                <w:rFonts w:ascii="Source Sans Pro" w:hAnsi="Source Sans Pro"/>
                <w:sz w:val="18"/>
              </w:rPr>
              <w:t>2375</w:t>
            </w:r>
          </w:p>
        </w:tc>
        <w:tc>
          <w:tcPr>
            <w:tcW w:type="dxa" w:w="1440"/>
            <w:shd w:fill="f0f5fa" w:val="clear"/>
          </w:tcPr>
          <w:p>
            <w:r/>
            <w:r>
              <w:rPr>
                <w:rFonts w:ascii="Source Sans Pro" w:hAnsi="Source Sans Pro"/>
                <w:sz w:val="18"/>
              </w:rPr>
              <w:t>11.4</w:t>
            </w:r>
          </w:p>
        </w:tc>
        <w:tc>
          <w:tcPr>
            <w:tcW w:type="dxa" w:w="1440"/>
            <w:shd w:fill="f0f5fa" w:val="clear"/>
          </w:tcPr>
          <w:p>
            <w:r/>
            <w:r>
              <w:rPr>
                <w:rFonts w:ascii="Source Sans Pro" w:hAnsi="Source Sans Pro"/>
                <w:sz w:val="18"/>
              </w:rPr>
              <w:t>91.2%</w:t>
            </w:r>
          </w:p>
        </w:tc>
      </w:tr>
      <w:tr>
        <w:tc>
          <w:tcPr>
            <w:tcW w:type="dxa" w:w="1296"/>
            <w:shd w:fill="ffffff" w:val="clear"/>
          </w:tcPr>
          <w:p>
            <w:r/>
            <w:r>
              <w:rPr>
                <w:rFonts w:ascii="Source Sans Pro" w:hAnsi="Source Sans Pro"/>
                <w:sz w:val="18"/>
              </w:rPr>
              <w:t>CCC</w:t>
            </w:r>
          </w:p>
        </w:tc>
        <w:tc>
          <w:tcPr>
            <w:tcW w:type="dxa" w:w="4032"/>
            <w:shd w:fill="ffffff" w:val="clear"/>
          </w:tcPr>
          <w:p>
            <w:r/>
            <w:r>
              <w:rPr>
                <w:rFonts w:ascii="Source Sans Pro" w:hAnsi="Source Sans Pro"/>
                <w:sz w:val="18"/>
              </w:rPr>
              <w:t>Energy &amp; Renewables</w:t>
            </w:r>
          </w:p>
        </w:tc>
        <w:tc>
          <w:tcPr>
            <w:tcW w:type="dxa" w:w="1296"/>
            <w:shd w:fill="ffffff" w:val="clear"/>
          </w:tcPr>
          <w:p>
            <w:r/>
            <w:r>
              <w:rPr>
                <w:rFonts w:ascii="Source Sans Pro" w:hAnsi="Source Sans Pro"/>
                <w:sz w:val="18"/>
              </w:rPr>
              <w:t>2288</w:t>
            </w:r>
          </w:p>
        </w:tc>
        <w:tc>
          <w:tcPr>
            <w:tcW w:type="dxa" w:w="1440"/>
            <w:shd w:fill="ffffff" w:val="clear"/>
          </w:tcPr>
          <w:p>
            <w:r/>
            <w:r>
              <w:rPr>
                <w:rFonts w:ascii="Source Sans Pro" w:hAnsi="Source Sans Pro"/>
                <w:sz w:val="18"/>
              </w:rPr>
              <w:t>28.6</w:t>
            </w:r>
          </w:p>
        </w:tc>
        <w:tc>
          <w:tcPr>
            <w:tcW w:type="dxa" w:w="1440"/>
            <w:shd w:fill="ffffff" w:val="clear"/>
          </w:tcPr>
          <w:p>
            <w:r/>
            <w:r>
              <w:rPr>
                <w:rFonts w:ascii="Source Sans Pro" w:hAnsi="Source Sans Pro"/>
                <w:sz w:val="18"/>
              </w:rPr>
              <w:t>66.7%</w:t>
            </w:r>
          </w:p>
        </w:tc>
      </w:tr>
      <w:tr>
        <w:tc>
          <w:tcPr>
            <w:tcW w:type="dxa" w:w="1296"/>
            <w:shd w:fill="f0f5fa" w:val="clear"/>
          </w:tcPr>
          <w:p>
            <w:r/>
            <w:r>
              <w:rPr>
                <w:rFonts w:ascii="Source Sans Pro" w:hAnsi="Source Sans Pro"/>
                <w:sz w:val="18"/>
              </w:rPr>
              <w:t>OCC</w:t>
            </w:r>
          </w:p>
        </w:tc>
        <w:tc>
          <w:tcPr>
            <w:tcW w:type="dxa" w:w="4032"/>
            <w:shd w:fill="f0f5fa" w:val="clear"/>
          </w:tcPr>
          <w:p>
            <w:r/>
            <w:r>
              <w:rPr>
                <w:rFonts w:ascii="Source Sans Pro" w:hAnsi="Source Sans Pro"/>
                <w:sz w:val="18"/>
              </w:rPr>
              <w:t>Energy &amp; Renewables</w:t>
            </w:r>
          </w:p>
        </w:tc>
        <w:tc>
          <w:tcPr>
            <w:tcW w:type="dxa" w:w="1296"/>
            <w:shd w:fill="f0f5fa" w:val="clear"/>
          </w:tcPr>
          <w:p>
            <w:r/>
            <w:r>
              <w:rPr>
                <w:rFonts w:ascii="Source Sans Pro" w:hAnsi="Source Sans Pro"/>
                <w:sz w:val="18"/>
              </w:rPr>
              <w:t>1872</w:t>
            </w:r>
          </w:p>
        </w:tc>
        <w:tc>
          <w:tcPr>
            <w:tcW w:type="dxa" w:w="1440"/>
            <w:shd w:fill="f0f5fa" w:val="clear"/>
          </w:tcPr>
          <w:p>
            <w:r/>
            <w:r>
              <w:rPr>
                <w:rFonts w:ascii="Source Sans Pro" w:hAnsi="Source Sans Pro"/>
                <w:sz w:val="18"/>
              </w:rPr>
              <w:t>8.8</w:t>
            </w:r>
          </w:p>
        </w:tc>
        <w:tc>
          <w:tcPr>
            <w:tcW w:type="dxa" w:w="1440"/>
            <w:shd w:fill="f0f5fa" w:val="clear"/>
          </w:tcPr>
          <w:p>
            <w:r/>
            <w:r>
              <w:rPr>
                <w:rFonts w:ascii="Source Sans Pro" w:hAnsi="Source Sans Pro"/>
                <w:sz w:val="18"/>
              </w:rPr>
              <w:t>93.1%</w:t>
            </w:r>
          </w:p>
        </w:tc>
      </w:tr>
      <w:tr>
        <w:tc>
          <w:tcPr>
            <w:tcW w:type="dxa" w:w="1296"/>
            <w:shd w:fill="ffffff" w:val="clear"/>
          </w:tcPr>
          <w:p>
            <w:r/>
            <w:r>
              <w:rPr>
                <w:rFonts w:ascii="Source Sans Pro" w:hAnsi="Source Sans Pro"/>
                <w:sz w:val="18"/>
              </w:rPr>
              <w:t>OCC</w:t>
            </w:r>
          </w:p>
        </w:tc>
        <w:tc>
          <w:tcPr>
            <w:tcW w:type="dxa" w:w="4032"/>
            <w:shd w:fill="ffffff" w:val="clear"/>
          </w:tcPr>
          <w:p>
            <w:r/>
            <w:r>
              <w:rPr>
                <w:rFonts w:ascii="Source Sans Pro" w:hAnsi="Source Sans Pro"/>
                <w:sz w:val="18"/>
              </w:rPr>
              <w:t>Water &amp; Environmental Services</w:t>
            </w:r>
          </w:p>
        </w:tc>
        <w:tc>
          <w:tcPr>
            <w:tcW w:type="dxa" w:w="1296"/>
            <w:shd w:fill="ffffff" w:val="clear"/>
          </w:tcPr>
          <w:p>
            <w:r/>
            <w:r>
              <w:rPr>
                <w:rFonts w:ascii="Source Sans Pro" w:hAnsi="Source Sans Pro"/>
                <w:sz w:val="18"/>
              </w:rPr>
              <w:t>1514</w:t>
            </w:r>
          </w:p>
        </w:tc>
        <w:tc>
          <w:tcPr>
            <w:tcW w:type="dxa" w:w="1440"/>
            <w:shd w:fill="ffffff" w:val="clear"/>
          </w:tcPr>
          <w:p>
            <w:r/>
            <w:r>
              <w:rPr>
                <w:rFonts w:ascii="Source Sans Pro" w:hAnsi="Source Sans Pro"/>
                <w:sz w:val="18"/>
              </w:rPr>
              <w:t>10.7</w:t>
            </w:r>
          </w:p>
        </w:tc>
        <w:tc>
          <w:tcPr>
            <w:tcW w:type="dxa" w:w="1440"/>
            <w:shd w:fill="ffffff" w:val="clear"/>
          </w:tcPr>
          <w:p>
            <w:r/>
            <w:r>
              <w:rPr>
                <w:rFonts w:ascii="Source Sans Pro" w:hAnsi="Source Sans Pro"/>
                <w:sz w:val="18"/>
              </w:rPr>
              <w:t>91.8%</w:t>
            </w:r>
          </w:p>
        </w:tc>
      </w:tr>
    </w:tbl>
    <w:p/>
    <w:p>
      <w:r>
        <w:br w:type="page"/>
      </w:r>
    </w:p>
    <w:p>
      <w:pPr>
        <w:pStyle w:val="Heading1"/>
      </w:pPr>
      <w:r>
        <w:t>9. Recommended Actions</w:t>
      </w:r>
    </w:p>
    <w:tbl>
      <w:tblPr>
        <w:tblStyle w:val="TableGrid"/>
        <w:tblW w:type="auto" w:w="0"/>
        <w:jc w:val="left"/>
        <w:tblLook w:firstColumn="1" w:firstRow="1" w:lastColumn="0" w:lastRow="0" w:noHBand="0" w:noVBand="1" w:val="04A0"/>
      </w:tblPr>
      <w:tblGrid>
        <w:gridCol w:w="10426"/>
      </w:tblGrid>
      <w:tr>
        <w:tc>
          <w:tcPr>
            <w:tcW w:type="dxa" w:w="10426"/>
            <w:shd w:fill="eef6fb" w:val="clear"/>
          </w:tcPr>
          <w:p>
            <w:r/>
            <w:r>
              <w:rPr>
                <w:rFonts w:ascii="Source Sans Pro" w:hAnsi="Source Sans Pro"/>
                <w:b/>
                <w:i w:val="0"/>
                <w:color w:val="13B5EA"/>
                <w:sz w:val="22"/>
              </w:rPr>
              <w:t>Action Agenda</w:t>
            </w:r>
          </w:p>
          <w:p>
            <w:r>
              <w:rPr>
                <w:rFonts w:ascii="Source Sans Pro" w:hAnsi="Source Sans Pro"/>
                <w:b w:val="0"/>
                <w:i w:val="0"/>
                <w:color w:val="0B3254"/>
                <w:sz w:val="20"/>
              </w:rPr>
              <w:t>These actions are generated directly from the event hotspots, leading-activity quality signals, and project/location performance patterns in the report.</w:t>
            </w:r>
          </w:p>
        </w:tc>
      </w:tr>
    </w:tbl>
    <w:p/>
    <w:tbl>
      <w:tblPr>
        <w:tblStyle w:val="TableGrid"/>
        <w:tblW w:type="auto" w:w="0"/>
        <w:jc w:val="left"/>
        <w:tblLook w:firstColumn="1" w:firstRow="1" w:lastColumn="0" w:lastRow="0" w:noHBand="0" w:noVBand="1" w:val="04A0"/>
      </w:tblPr>
      <w:tblGrid>
        <w:gridCol w:w="10426"/>
      </w:tblGrid>
      <w:tr>
        <w:tc>
          <w:tcPr>
            <w:tcW w:type="dxa" w:w="10426"/>
            <w:shd w:fill="f7fbff" w:val="clear"/>
          </w:tcPr>
          <w:p>
            <w:r/>
            <w:r>
              <w:rPr>
                <w:rFonts w:ascii="Source Sans Pro" w:hAnsi="Source Sans Pro"/>
                <w:b/>
                <w:i w:val="0"/>
                <w:color w:val="DC2626"/>
                <w:sz w:val="22"/>
              </w:rPr>
              <w:t>Immediate Priority</w:t>
            </w:r>
          </w:p>
          <w:p>
            <w:r>
              <w:rPr>
                <w:rFonts w:ascii="Source Sans Pro" w:hAnsi="Source Sans Pro"/>
                <w:b w:val="0"/>
                <w:i w:val="0"/>
                <w:color w:val="0B3254"/>
                <w:sz w:val="20"/>
              </w:rPr>
              <w:t>Moderate-or-above consequence events make up 3.4% of recorded events. Review whether controls around the highest-consequence scenarios are being verified often enough in field activity.</w:t>
            </w:r>
          </w:p>
        </w:tc>
      </w:tr>
    </w:tbl>
    <w:p/>
    <w:tbl>
      <w:tblPr>
        <w:tblStyle w:val="TableGrid"/>
        <w:tblW w:type="auto" w:w="0"/>
        <w:jc w:val="left"/>
        <w:tblLook w:firstColumn="1" w:firstRow="1" w:lastColumn="0" w:lastRow="0" w:noHBand="0" w:noVBand="1" w:val="04A0"/>
      </w:tblPr>
      <w:tblGrid>
        <w:gridCol w:w="10426"/>
      </w:tblGrid>
      <w:tr>
        <w:tc>
          <w:tcPr>
            <w:tcW w:type="dxa" w:w="10426"/>
            <w:shd w:fill="f7fbff" w:val="clear"/>
          </w:tcPr>
          <w:p>
            <w:r/>
            <w:r>
              <w:rPr>
                <w:rFonts w:ascii="Source Sans Pro" w:hAnsi="Source Sans Pro"/>
                <w:b/>
                <w:i w:val="0"/>
                <w:color w:val="DC2626"/>
                <w:sz w:val="22"/>
              </w:rPr>
              <w:t>Immediate Priority</w:t>
            </w:r>
          </w:p>
          <w:p>
            <w:r>
              <w:rPr>
                <w:rFonts w:ascii="Source Sans Pro" w:hAnsi="Source Sans Pro"/>
                <w:b w:val="0"/>
                <w:i w:val="0"/>
                <w:color w:val="0B3254"/>
                <w:sz w:val="20"/>
              </w:rPr>
              <w:t>31 Lost Time Injuries were recorded in the analysis window. Review the underlying work types, contributing factors, and recovery actions for common patterns.</w:t>
            </w:r>
          </w:p>
        </w:tc>
      </w:tr>
    </w:tbl>
    <w:p/>
    <w:tbl>
      <w:tblPr>
        <w:tblStyle w:val="TableGrid"/>
        <w:tblW w:type="auto" w:w="0"/>
        <w:jc w:val="left"/>
        <w:tblLook w:firstColumn="1" w:firstRow="1" w:lastColumn="0" w:lastRow="0" w:noHBand="0" w:noVBand="1" w:val="04A0"/>
      </w:tblPr>
      <w:tblGrid>
        <w:gridCol w:w="10426"/>
      </w:tblGrid>
      <w:tr>
        <w:tc>
          <w:tcPr>
            <w:tcW w:type="dxa" w:w="10426"/>
            <w:shd w:fill="f7fbff" w:val="clear"/>
          </w:tcPr>
          <w:p>
            <w:r/>
            <w:r>
              <w:rPr>
                <w:rFonts w:ascii="Source Sans Pro" w:hAnsi="Source Sans Pro"/>
                <w:b/>
                <w:i w:val="0"/>
                <w:color w:val="DC2626"/>
                <w:sz w:val="22"/>
              </w:rPr>
              <w:t>Immediate Priority</w:t>
            </w:r>
          </w:p>
          <w:p>
            <w:r>
              <w:rPr>
                <w:rFonts w:ascii="Source Sans Pro" w:hAnsi="Source Sans Pro"/>
                <w:b w:val="0"/>
                <w:i w:val="0"/>
                <w:color w:val="0B3254"/>
                <w:sz w:val="20"/>
              </w:rPr>
              <w:t>Serious events are most frequently recorded in Afternoon (12:00-17:59). Use this to target pre-start, supervision, and fatigue controls at the riskiest parts of the day.</w:t>
            </w:r>
          </w:p>
        </w:tc>
      </w:tr>
    </w:tbl>
    <w:p/>
    <w:tbl>
      <w:tblPr>
        <w:tblStyle w:val="TableGrid"/>
        <w:tblW w:type="auto" w:w="0"/>
        <w:jc w:val="left"/>
        <w:tblLook w:firstColumn="1" w:firstRow="1" w:lastColumn="0" w:lastRow="0" w:noHBand="0" w:noVBand="1" w:val="04A0"/>
      </w:tblPr>
      <w:tblGrid>
        <w:gridCol w:w="10426"/>
      </w:tblGrid>
      <w:tr>
        <w:tc>
          <w:tcPr>
            <w:tcW w:type="dxa" w:w="10426"/>
            <w:shd w:fill="ffffff" w:val="clear"/>
          </w:tcPr>
          <w:p>
            <w:r/>
            <w:r>
              <w:rPr>
                <w:rFonts w:ascii="Source Sans Pro" w:hAnsi="Source Sans Pro"/>
                <w:b/>
                <w:i w:val="0"/>
                <w:color w:val="0B3254"/>
                <w:sz w:val="22"/>
              </w:rPr>
              <w:t>Next Priority</w:t>
            </w:r>
          </w:p>
          <w:p>
            <w:r>
              <w:rPr>
                <w:rFonts w:ascii="Source Sans Pro" w:hAnsi="Source Sans Pro"/>
                <w:b w:val="0"/>
                <w:i w:val="0"/>
                <w:color w:val="0B3254"/>
                <w:sz w:val="20"/>
              </w:rPr>
              <w:t>Motor vehicle events account for 10.6% of all events. Review journey management, road conditions, and vehicle type patterns in the MVE section.</w:t>
            </w:r>
          </w:p>
        </w:tc>
      </w:tr>
    </w:tbl>
    <w:p/>
    <w:tbl>
      <w:tblPr>
        <w:tblStyle w:val="TableGrid"/>
        <w:tblW w:type="auto" w:w="0"/>
        <w:jc w:val="left"/>
        <w:tblLook w:firstColumn="1" w:firstRow="1" w:lastColumn="0" w:lastRow="0" w:noHBand="0" w:noVBand="1" w:val="04A0"/>
      </w:tblPr>
      <w:tblGrid>
        <w:gridCol w:w="10426"/>
      </w:tblGrid>
      <w:tr>
        <w:tc>
          <w:tcPr>
            <w:tcW w:type="dxa" w:w="10426"/>
            <w:shd w:fill="ffffff" w:val="clear"/>
          </w:tcPr>
          <w:p>
            <w:r/>
            <w:r>
              <w:rPr>
                <w:rFonts w:ascii="Source Sans Pro" w:hAnsi="Source Sans Pro"/>
                <w:b/>
                <w:i w:val="0"/>
                <w:color w:val="0B3254"/>
                <w:sz w:val="22"/>
              </w:rPr>
              <w:t>Next Priority</w:t>
            </w:r>
          </w:p>
          <w:p>
            <w:r>
              <w:rPr>
                <w:rFonts w:ascii="Source Sans Pro" w:hAnsi="Source Sans Pro"/>
                <w:b w:val="0"/>
                <w:i w:val="0"/>
                <w:color w:val="0B3254"/>
                <w:sz w:val="20"/>
              </w:rPr>
              <w:t>Prioritise a motor vehicle risk review for Yarra Valley Water O&amp;M where MV exposure is most visible, with particular attention to Main Road driving conditions.</w:t>
            </w:r>
          </w:p>
        </w:tc>
      </w:tr>
    </w:tbl>
    <w:p/>
    <w:tbl>
      <w:tblPr>
        <w:tblStyle w:val="TableGrid"/>
        <w:tblW w:type="auto" w:w="0"/>
        <w:jc w:val="left"/>
        <w:tblLook w:firstColumn="1" w:firstRow="1" w:lastColumn="0" w:lastRow="0" w:noHBand="0" w:noVBand="1" w:val="04A0"/>
      </w:tblPr>
      <w:tblGrid>
        <w:gridCol w:w="10426"/>
      </w:tblGrid>
      <w:tr>
        <w:tc>
          <w:tcPr>
            <w:tcW w:type="dxa" w:w="10426"/>
            <w:shd w:fill="ffffff" w:val="clear"/>
          </w:tcPr>
          <w:p>
            <w:r/>
            <w:r>
              <w:rPr>
                <w:rFonts w:ascii="Source Sans Pro" w:hAnsi="Source Sans Pro"/>
                <w:b/>
                <w:i w:val="0"/>
                <w:color w:val="0B3254"/>
                <w:sz w:val="22"/>
              </w:rPr>
              <w:t>Next Priority</w:t>
            </w:r>
          </w:p>
          <w:p>
            <w:r>
              <w:rPr>
                <w:rFonts w:ascii="Source Sans Pro" w:hAnsi="Source Sans Pro"/>
                <w:b w:val="0"/>
                <w:i w:val="0"/>
                <w:color w:val="0B3254"/>
                <w:sz w:val="20"/>
              </w:rPr>
              <w:t>Business Unit 'Sector Overhead' shows declining leading-activity volume in the recent period. Targeted engagement from the sector SHEQ team is recommended.</w:t>
            </w:r>
          </w:p>
        </w:tc>
      </w:tr>
    </w:tbl>
    <w:p/>
    <w:tbl>
      <w:tblPr>
        <w:tblStyle w:val="TableGrid"/>
        <w:tblW w:type="auto" w:w="0"/>
        <w:jc w:val="left"/>
        <w:tblLook w:firstColumn="1" w:firstRow="1" w:lastColumn="0" w:lastRow="0" w:noHBand="0" w:noVBand="1" w:val="04A0"/>
      </w:tblPr>
      <w:tblGrid>
        <w:gridCol w:w="10426"/>
      </w:tblGrid>
      <w:tr>
        <w:tc>
          <w:tcPr>
            <w:tcW w:type="dxa" w:w="10426"/>
            <w:shd w:fill="ffffff" w:val="clear"/>
          </w:tcPr>
          <w:p>
            <w:r/>
            <w:r>
              <w:rPr>
                <w:rFonts w:ascii="Source Sans Pro" w:hAnsi="Source Sans Pro"/>
                <w:b/>
                <w:i w:val="0"/>
                <w:color w:val="0B3254"/>
                <w:sz w:val="22"/>
              </w:rPr>
              <w:t>Next Priority</w:t>
            </w:r>
          </w:p>
          <w:p>
            <w:r>
              <w:rPr>
                <w:rFonts w:ascii="Source Sans Pro" w:hAnsi="Source Sans Pro"/>
                <w:b w:val="0"/>
                <w:i w:val="0"/>
                <w:color w:val="0B3254"/>
                <w:sz w:val="20"/>
              </w:rPr>
              <w:t>'Resources' has both high leading-activity and high event volumes. This may indicate reactive activity patterns — review whether conversations are targeting root causes rather than responding after the fact.</w:t>
            </w:r>
          </w:p>
        </w:tc>
      </w:tr>
    </w:tbl>
    <w:p/>
    <w:tbl>
      <w:tblPr>
        <w:tblStyle w:val="TableGrid"/>
        <w:tblW w:type="auto" w:w="0"/>
        <w:jc w:val="left"/>
        <w:tblLook w:firstColumn="1" w:firstRow="1" w:lastColumn="0" w:lastRow="0" w:noHBand="0" w:noVBand="1" w:val="04A0"/>
      </w:tblPr>
      <w:tblGrid>
        <w:gridCol w:w="10426"/>
      </w:tblGrid>
      <w:tr>
        <w:tc>
          <w:tcPr>
            <w:tcW w:type="dxa" w:w="10426"/>
            <w:shd w:fill="ffffff" w:val="clear"/>
          </w:tcPr>
          <w:p>
            <w:r/>
            <w:r>
              <w:rPr>
                <w:rFonts w:ascii="Source Sans Pro" w:hAnsi="Source Sans Pro"/>
                <w:b/>
                <w:i w:val="0"/>
                <w:color w:val="0B3254"/>
                <w:sz w:val="22"/>
              </w:rPr>
              <w:t>Next Priority</w:t>
            </w:r>
          </w:p>
          <w:p>
            <w:r>
              <w:rPr>
                <w:rFonts w:ascii="Source Sans Pro" w:hAnsi="Source Sans Pro"/>
                <w:b w:val="0"/>
                <w:i w:val="0"/>
                <w:color w:val="0B3254"/>
                <w:sz w:val="20"/>
              </w:rPr>
              <w:t>'Energy &amp; Renewables' has both high leading-activity and high event volumes. This may indicate reactive activity patterns — review whether conversations are targeting root causes rather than responding after the fact.</w:t>
            </w:r>
          </w:p>
        </w:tc>
      </w:tr>
    </w:tbl>
    <w:p/>
    <w:tbl>
      <w:tblPr>
        <w:tblStyle w:val="TableGrid"/>
        <w:tblW w:type="auto" w:w="0"/>
        <w:jc w:val="left"/>
        <w:tblLook w:firstColumn="1" w:firstRow="1" w:lastColumn="0" w:lastRow="0" w:noHBand="0" w:noVBand="1" w:val="04A0"/>
      </w:tblPr>
      <w:tblGrid>
        <w:gridCol w:w="10426"/>
      </w:tblGrid>
      <w:tr>
        <w:tc>
          <w:tcPr>
            <w:tcW w:type="dxa" w:w="10426"/>
            <w:shd w:fill="ffffff" w:val="clear"/>
          </w:tcPr>
          <w:p>
            <w:r/>
            <w:r>
              <w:rPr>
                <w:rFonts w:ascii="Source Sans Pro" w:hAnsi="Source Sans Pro"/>
                <w:b/>
                <w:i w:val="0"/>
                <w:color w:val="0B3254"/>
                <w:sz w:val="22"/>
              </w:rPr>
              <w:t>Next Priority</w:t>
            </w:r>
          </w:p>
          <w:p>
            <w:r>
              <w:rPr>
                <w:rFonts w:ascii="Source Sans Pro" w:hAnsi="Source Sans Pro"/>
                <w:b w:val="0"/>
                <w:i w:val="0"/>
                <w:color w:val="0B3254"/>
                <w:sz w:val="20"/>
              </w:rPr>
              <w:t>'Water &amp; Environmental Services' has both high leading-activity and high event volumes. This may indicate reactive activity patterns — review whether conversations are targeting root causes rather than responding after the fact.</w:t>
            </w:r>
          </w:p>
        </w:tc>
      </w:tr>
    </w:tbl>
    <w:p/>
    <w:tbl>
      <w:tblPr>
        <w:tblStyle w:val="TableGrid"/>
        <w:tblW w:type="auto" w:w="0"/>
        <w:jc w:val="left"/>
        <w:tblLook w:firstColumn="1" w:firstRow="1" w:lastColumn="0" w:lastRow="0" w:noHBand="0" w:noVBand="1" w:val="04A0"/>
      </w:tblPr>
      <w:tblGrid>
        <w:gridCol w:w="10426"/>
      </w:tblGrid>
      <w:tr>
        <w:tc>
          <w:tcPr>
            <w:tcW w:type="dxa" w:w="10426"/>
            <w:shd w:fill="ffffff" w:val="clear"/>
          </w:tcPr>
          <w:p>
            <w:r/>
            <w:r>
              <w:rPr>
                <w:rFonts w:ascii="Source Sans Pro" w:hAnsi="Source Sans Pro"/>
                <w:b/>
                <w:i w:val="0"/>
                <w:color w:val="0B3254"/>
                <w:sz w:val="22"/>
              </w:rPr>
              <w:t>Next Priority</w:t>
            </w:r>
          </w:p>
          <w:p>
            <w:r>
              <w:rPr>
                <w:rFonts w:ascii="Source Sans Pro" w:hAnsi="Source Sans Pro"/>
                <w:b w:val="0"/>
                <w:i w:val="0"/>
                <w:color w:val="0B3254"/>
                <w:sz w:val="20"/>
              </w:rPr>
              <w:t>Focus the next leadership review on project 'Far North Waters', which recorded 112 events and 11 serious events against 589 leading activities.</w:t>
            </w:r>
          </w:p>
        </w:tc>
      </w:tr>
    </w:tbl>
    <w:p/>
    <w:p/>
    <w:p>
      <w:pPr>
        <w:pStyle w:val="Heading2"/>
      </w:pPr>
      <w:r>
        <w:t>Ongoing Monitoring Recommendations</w:t>
      </w:r>
    </w:p>
    <w:p>
      <w:pPr>
        <w:pStyle w:val="ListBullet"/>
      </w:pPr>
      <w:r>
        <w:rPr>
          <w:rFonts w:ascii="Source Sans Pro" w:hAnsi="Source Sans Pro"/>
          <w:b w:val="0"/>
          <w:i w:val="0"/>
          <w:color w:val="0B3254"/>
          <w:sz w:val="22"/>
        </w:rPr>
        <w:t>Track leading-activity volumes monthly by Business Unit against a set target (e.g. minimum 4 LLCs per leader per month).</w:t>
      </w:r>
    </w:p>
    <w:p>
      <w:pPr>
        <w:pStyle w:val="ListBullet"/>
      </w:pPr>
      <w:r>
        <w:rPr>
          <w:rFonts w:ascii="Source Sans Pro" w:hAnsi="Source Sans Pro"/>
          <w:b w:val="0"/>
          <w:i w:val="0"/>
          <w:color w:val="0B3254"/>
          <w:sz w:val="22"/>
        </w:rPr>
        <w:t>Track CCC/OCC/LLC quality monthly using shallow-entry rate, follow-up rate, and average quality score.</w:t>
      </w:r>
    </w:p>
    <w:p>
      <w:pPr>
        <w:pStyle w:val="ListBullet"/>
      </w:pPr>
      <w:r>
        <w:rPr>
          <w:rFonts w:ascii="Source Sans Pro" w:hAnsi="Source Sans Pro"/>
          <w:b w:val="0"/>
          <w:i w:val="0"/>
          <w:color w:val="0B3254"/>
          <w:sz w:val="22"/>
        </w:rPr>
        <w:t>Review LLC topic coverage quarterly to ensure alignment with top event root causes.</w:t>
      </w:r>
    </w:p>
    <w:p>
      <w:pPr>
        <w:pStyle w:val="ListBullet"/>
      </w:pPr>
      <w:r>
        <w:rPr>
          <w:rFonts w:ascii="Source Sans Pro" w:hAnsi="Source Sans Pro"/>
          <w:b w:val="0"/>
          <w:i w:val="0"/>
          <w:color w:val="0B3254"/>
          <w:sz w:val="22"/>
        </w:rPr>
        <w:t>Re-run this full report monthly or quarterly as new data becomes available.</w:t>
      </w:r>
    </w:p>
    <w:p>
      <w:pPr>
        <w:pStyle w:val="ListBullet"/>
      </w:pPr>
      <w:r>
        <w:rPr>
          <w:rFonts w:ascii="Source Sans Pro" w:hAnsi="Source Sans Pro"/>
          <w:b w:val="0"/>
          <w:i w:val="0"/>
          <w:color w:val="0B3254"/>
          <w:sz w:val="22"/>
        </w:rPr>
        <w:t>Supplement quantitative analysis with qualitative review of LLC content quality.</w:t>
      </w:r>
    </w:p>
    <w:p>
      <w:pPr>
        <w:pStyle w:val="ListBullet"/>
      </w:pPr>
      <w:r>
        <w:rPr>
          <w:rFonts w:ascii="Source Sans Pro" w:hAnsi="Source Sans Pro"/>
          <w:b w:val="0"/>
          <w:i w:val="0"/>
          <w:color w:val="0B3254"/>
          <w:sz w:val="22"/>
        </w:rPr>
        <w:t>Use the Business Unit activity-to-event ratio table to guide where SHEQ advisor engagement should be prioritised.</w:t>
      </w:r>
    </w:p>
    <w:p>
      <w:r>
        <w:br w:type="page"/>
      </w:r>
    </w:p>
    <w:p>
      <w:pPr>
        <w:pStyle w:val="Heading1"/>
      </w:pPr>
      <w:r>
        <w:t>10. Methodology and Caveats</w:t>
      </w:r>
    </w:p>
    <w:p>
      <w:pPr>
        <w:pStyle w:val="Heading2"/>
      </w:pPr>
      <w:r>
        <w:t>10.1 Data Sources</w:t>
      </w:r>
    </w:p>
    <w:tbl>
      <w:tblPr>
        <w:tblStyle w:val="TableGrid"/>
        <w:tblW w:type="auto" w:w="0"/>
        <w:jc w:val="left"/>
        <w:tblLook w:firstColumn="1" w:firstRow="1" w:lastColumn="0" w:lastRow="0" w:noHBand="0" w:noVBand="1" w:val="04A0"/>
      </w:tblPr>
      <w:tblGrid>
        <w:gridCol w:w="5213"/>
        <w:gridCol w:w="5213"/>
      </w:tblGrid>
      <w:tr>
        <w:tc>
          <w:tcPr>
            <w:tcW w:type="dxa" w:w="2880"/>
            <w:shd w:fill="0b3254" w:val="clear"/>
          </w:tcPr>
          <w:p>
            <w:r/>
            <w:r>
              <w:rPr>
                <w:rFonts w:ascii="Source Sans Pro" w:hAnsi="Source Sans Pro"/>
                <w:b/>
                <w:color w:val="FFFFFF"/>
                <w:sz w:val="18"/>
              </w:rPr>
              <w:t>Source</w:t>
            </w:r>
          </w:p>
        </w:tc>
        <w:tc>
          <w:tcPr>
            <w:tcW w:type="dxa" w:w="6480"/>
            <w:shd w:fill="0b3254" w:val="clear"/>
          </w:tcPr>
          <w:p>
            <w:r/>
            <w:r>
              <w:rPr>
                <w:rFonts w:ascii="Source Sans Pro" w:hAnsi="Source Sans Pro"/>
                <w:b/>
                <w:color w:val="FFFFFF"/>
                <w:sz w:val="18"/>
              </w:rPr>
              <w:t>Description</w:t>
            </w:r>
          </w:p>
        </w:tc>
      </w:tr>
      <w:tr>
        <w:tc>
          <w:tcPr>
            <w:tcW w:type="dxa" w:w="2880"/>
            <w:shd w:fill="f0f5fa" w:val="clear"/>
          </w:tcPr>
          <w:p>
            <w:r/>
            <w:r>
              <w:rPr>
                <w:rFonts w:ascii="Source Sans Pro" w:hAnsi="Source Sans Pro"/>
                <w:sz w:val="18"/>
              </w:rPr>
              <w:t>Events.xlsx</w:t>
            </w:r>
          </w:p>
        </w:tc>
        <w:tc>
          <w:tcPr>
            <w:tcW w:type="dxa" w:w="6480"/>
            <w:shd w:fill="f0f5fa" w:val="clear"/>
          </w:tcPr>
          <w:p>
            <w:r/>
            <w:r>
              <w:rPr>
                <w:rFonts w:ascii="Source Sans Pro" w:hAnsi="Source Sans Pro"/>
                <w:sz w:val="18"/>
              </w:rPr>
              <w:t>Incident and event records exported from the Ventia safety management system. Covers all event types including injuries, motor vehicle events, close calls, environmental events, and nonconformances.</w:t>
            </w:r>
          </w:p>
        </w:tc>
      </w:tr>
      <w:tr>
        <w:tc>
          <w:tcPr>
            <w:tcW w:type="dxa" w:w="2880"/>
            <w:shd w:fill="ffffff" w:val="clear"/>
          </w:tcPr>
          <w:p>
            <w:r/>
            <w:r>
              <w:rPr>
                <w:rFonts w:ascii="Source Sans Pro" w:hAnsi="Source Sans Pro"/>
                <w:sz w:val="18"/>
              </w:rPr>
              <w:t>Safety_Energy.xlsx</w:t>
            </w:r>
          </w:p>
        </w:tc>
        <w:tc>
          <w:tcPr>
            <w:tcW w:type="dxa" w:w="6480"/>
            <w:shd w:fill="ffffff" w:val="clear"/>
          </w:tcPr>
          <w:p>
            <w:r/>
            <w:r>
              <w:rPr>
                <w:rFonts w:ascii="Source Sans Pro" w:hAnsi="Source Sans Pro"/>
                <w:sz w:val="18"/>
              </w:rPr>
              <w:t>Combined leading activity export covering all three activity types: Leader Learning Conversations (LLC), Critical Control Checks (CCC), and Operational Control Checks (OCC). This is treated as the primary leading indicator data source.</w:t>
            </w:r>
          </w:p>
        </w:tc>
      </w:tr>
      <w:tr>
        <w:tc>
          <w:tcPr>
            <w:tcW w:type="dxa" w:w="2880"/>
            <w:shd w:fill="f0f5fa" w:val="clear"/>
          </w:tcPr>
          <w:p>
            <w:r/>
            <w:r>
              <w:rPr>
                <w:rFonts w:ascii="Source Sans Pro" w:hAnsi="Source Sans Pro"/>
                <w:sz w:val="18"/>
              </w:rPr>
              <w:t>LLC_Data.xlsx</w:t>
            </w:r>
          </w:p>
        </w:tc>
        <w:tc>
          <w:tcPr>
            <w:tcW w:type="dxa" w:w="6480"/>
            <w:shd w:fill="f0f5fa" w:val="clear"/>
          </w:tcPr>
          <w:p>
            <w:r/>
            <w:r>
              <w:rPr>
                <w:rFonts w:ascii="Source Sans Pro" w:hAnsi="Source Sans Pro"/>
                <w:sz w:val="18"/>
              </w:rPr>
              <w:t>Supplementary LLC export providing richer free-text data (conversation topics, CRP focus, at-risk observations). Used primarily for theme and topic analysis. Record counts are closely aligned with the LLC records in Safety_Energy.xlsx.</w:t>
            </w:r>
          </w:p>
        </w:tc>
      </w:tr>
    </w:tbl>
    <w:p/>
    <w:p>
      <w:pPr>
        <w:pStyle w:val="Heading2"/>
      </w:pPr>
      <w:r>
        <w:t>10.2 Activity Type Definitions</w:t>
      </w:r>
    </w:p>
    <w:p>
      <w:r>
        <w:rPr>
          <w:rFonts w:ascii="Source Sans Pro" w:hAnsi="Source Sans Pro"/>
          <w:b w:val="0"/>
          <w:i w:val="0"/>
          <w:color w:val="0B3254"/>
          <w:sz w:val="22"/>
        </w:rPr>
        <w:t>Safety Energy is the combined analytical domain. It encompasses three activity types:</w:t>
      </w:r>
    </w:p>
    <w:p>
      <w:pPr>
        <w:pStyle w:val="ListBullet"/>
      </w:pPr>
      <w:r>
        <w:rPr>
          <w:rFonts w:ascii="Source Sans Pro" w:hAnsi="Source Sans Pro"/>
          <w:b w:val="0"/>
          <w:i w:val="0"/>
          <w:color w:val="0B3254"/>
          <w:sz w:val="22"/>
        </w:rPr>
        <w:t>LLC (Leader Learning Conversation): A structured conversation between a leader and a worker or work group, focused on safety topics, risk identification, and critical controls.</w:t>
      </w:r>
    </w:p>
    <w:p>
      <w:pPr>
        <w:pStyle w:val="ListBullet"/>
      </w:pPr>
      <w:r>
        <w:rPr>
          <w:rFonts w:ascii="Source Sans Pro" w:hAnsi="Source Sans Pro"/>
          <w:b w:val="0"/>
          <w:i w:val="0"/>
          <w:color w:val="0B3254"/>
          <w:sz w:val="22"/>
        </w:rPr>
        <w:t>CCC (Critical Control Check): A field verification that critical controls for high-risk activities are in place and effective (e.g. working at height, hazardous energies).</w:t>
      </w:r>
    </w:p>
    <w:p>
      <w:pPr>
        <w:pStyle w:val="ListBullet"/>
      </w:pPr>
      <w:r>
        <w:rPr>
          <w:rFonts w:ascii="Source Sans Pro" w:hAnsi="Source Sans Pro"/>
          <w:b w:val="0"/>
          <w:i w:val="0"/>
          <w:color w:val="0B3254"/>
          <w:sz w:val="22"/>
        </w:rPr>
        <w:t>OCC (Operational Control Check): A broader operational inspection or check covering a range of work-area risk topics.</w:t>
      </w:r>
    </w:p>
    <w:p>
      <w:pPr>
        <w:pStyle w:val="ListBullet"/>
      </w:pPr>
      <w:r>
        <w:rPr>
          <w:rFonts w:ascii="Source Sans Pro" w:hAnsi="Source Sans Pro"/>
          <w:b w:val="0"/>
          <w:i w:val="0"/>
          <w:color w:val="0B3254"/>
          <w:sz w:val="22"/>
        </w:rPr>
        <w:t>Note: In some legacy documentation or older exports, the label 'OCC' was used broadly to cover what is now split into CCC and OCC. The current Safety_Energy.xlsx export correctly separates these via the ModuleType field. No manual deduplication was required.</w:t>
      </w:r>
    </w:p>
    <w:p/>
    <w:p>
      <w:pPr>
        <w:pStyle w:val="Heading2"/>
      </w:pPr>
      <w:r>
        <w:t>10.3 Analytical Approach</w:t>
      </w:r>
    </w:p>
    <w:p>
      <w:pPr>
        <w:pStyle w:val="ListBullet"/>
      </w:pPr>
      <w:r>
        <w:rPr>
          <w:rFonts w:ascii="Source Sans Pro" w:hAnsi="Source Sans Pro"/>
          <w:b w:val="0"/>
          <w:i w:val="0"/>
          <w:color w:val="0B3254"/>
          <w:sz w:val="22"/>
        </w:rPr>
        <w:t>Monthly trend analysis: Activities and events are aggregated by calendar month. Trend direction is estimated by comparing recent-period averages against prior-period averages.</w:t>
      </w:r>
    </w:p>
    <w:p>
      <w:pPr>
        <w:pStyle w:val="ListBullet"/>
      </w:pPr>
      <w:r>
        <w:rPr>
          <w:rFonts w:ascii="Source Sans Pro" w:hAnsi="Source Sans Pro"/>
          <w:b w:val="0"/>
          <w:i w:val="0"/>
          <w:color w:val="0B3254"/>
          <w:sz w:val="22"/>
        </w:rPr>
        <w:t>Rolling two-year Safety Energy review: deeper trend and quality analysis uses a 24-month window from 2024-01-01 to 2025-12-31, anchored to the latest Safety Energy record.</w:t>
      </w:r>
    </w:p>
    <w:p>
      <w:pPr>
        <w:pStyle w:val="ListBullet"/>
      </w:pPr>
      <w:r>
        <w:rPr>
          <w:rFonts w:ascii="Source Sans Pro" w:hAnsi="Source Sans Pro"/>
          <w:b w:val="0"/>
          <w:i w:val="0"/>
          <w:color w:val="0B3254"/>
          <w:sz w:val="22"/>
        </w:rPr>
        <w:t>Effectiveness analysis: Business unit-level aggregates and overall monthly correlations are used as proxies for effectiveness. Correlation is computed using Pearson r.</w:t>
      </w:r>
    </w:p>
    <w:p>
      <w:pPr>
        <w:pStyle w:val="ListBullet"/>
      </w:pPr>
      <w:r>
        <w:rPr>
          <w:rFonts w:ascii="Source Sans Pro" w:hAnsi="Source Sans Pro"/>
          <w:b w:val="0"/>
          <w:i w:val="0"/>
          <w:color w:val="0B3254"/>
          <w:sz w:val="22"/>
        </w:rPr>
        <w:t>At-risk theme extraction: Free-text fields are scanned using a predefined keyword dictionary (see config.py). Frequency counts are combined across sources with a 2× weight applied to event-source mentions (lagging signal).</w:t>
      </w:r>
    </w:p>
    <w:p>
      <w:pPr>
        <w:pStyle w:val="ListBullet"/>
      </w:pPr>
      <w:r>
        <w:rPr>
          <w:rFonts w:ascii="Source Sans Pro" w:hAnsi="Source Sans Pro"/>
          <w:b w:val="0"/>
          <w:i w:val="0"/>
          <w:color w:val="0B3254"/>
          <w:sz w:val="22"/>
        </w:rPr>
        <w:t>Business Unit focus: BUs are flagged as 'declining' if second-half activity volume is less than 70% of first-half volume within the analysis window.</w:t>
      </w:r>
    </w:p>
    <w:p>
      <w:pPr>
        <w:pStyle w:val="ListBullet"/>
      </w:pPr>
      <w:r>
        <w:rPr>
          <w:rFonts w:ascii="Source Sans Pro" w:hAnsi="Source Sans Pro"/>
          <w:b w:val="0"/>
          <w:i w:val="0"/>
          <w:color w:val="0B3254"/>
          <w:sz w:val="22"/>
        </w:rPr>
        <w:t>Leading-activity quality scoring: records are scored using practical proxies including text richness, specificity, risk recognition, action/follow-up language, learning evidence, and penalties for generic or duplicated wording.</w:t>
      </w:r>
    </w:p>
    <w:p/>
    <w:p>
      <w:pPr>
        <w:pStyle w:val="Heading2"/>
      </w:pPr>
      <w:r>
        <w:t>10.4 Caveats and Limitations</w:t>
      </w:r>
    </w:p>
    <w:p>
      <w:pPr>
        <w:pStyle w:val="ListBullet"/>
      </w:pPr>
      <w:r>
        <w:rPr>
          <w:rFonts w:ascii="Source Sans Pro" w:hAnsi="Source Sans Pro"/>
          <w:b w:val="0"/>
          <w:i w:val="0"/>
          <w:color w:val="0B3254"/>
          <w:sz w:val="22"/>
        </w:rPr>
        <w:t>All analysis in this report is based on data exported from Ventia's safety management system. Data quality depends on the completeness and accuracy of field entries.</w:t>
      </w:r>
    </w:p>
    <w:p>
      <w:pPr>
        <w:pStyle w:val="ListBullet"/>
      </w:pPr>
      <w:r>
        <w:rPr>
          <w:rFonts w:ascii="Source Sans Pro" w:hAnsi="Source Sans Pro"/>
          <w:b w:val="0"/>
          <w:i w:val="0"/>
          <w:color w:val="0B3254"/>
          <w:sz w:val="22"/>
        </w:rPr>
        <w:t>Correlation and association findings do not imply causation. They are presented to guide further investigation, not to draw definitive conclusions.</w:t>
      </w:r>
    </w:p>
    <w:p>
      <w:pPr>
        <w:pStyle w:val="ListBullet"/>
      </w:pPr>
      <w:r>
        <w:rPr>
          <w:rFonts w:ascii="Source Sans Pro" w:hAnsi="Source Sans Pro"/>
          <w:b w:val="0"/>
          <w:i w:val="0"/>
          <w:color w:val="0B3254"/>
          <w:sz w:val="22"/>
        </w:rPr>
        <w:t>Activity counts reflect recorded activities only. Under-reporting in any area will affect the reliability of leading-indicator analysis.</w:t>
      </w:r>
    </w:p>
    <w:p>
      <w:pPr>
        <w:pStyle w:val="ListBullet"/>
      </w:pPr>
      <w:r>
        <w:rPr>
          <w:rFonts w:ascii="Source Sans Pro" w:hAnsi="Source Sans Pro"/>
          <w:b w:val="0"/>
          <w:i w:val="0"/>
          <w:color w:val="0B3254"/>
          <w:sz w:val="22"/>
        </w:rPr>
        <w:t>Theme extraction from free-text fields uses keyword matching and may miss nuance or misclassify entries. Manual review of flagged themes is recommended.</w:t>
      </w:r>
    </w:p>
    <w:p>
      <w:pPr>
        <w:pStyle w:val="ListBullet"/>
      </w:pPr>
      <w:r>
        <w:rPr>
          <w:rFonts w:ascii="Source Sans Pro" w:hAnsi="Source Sans Pro"/>
          <w:b w:val="0"/>
          <w:i w:val="0"/>
          <w:color w:val="0B3254"/>
          <w:sz w:val="22"/>
        </w:rPr>
        <w:t>Business unit comparisons may be affected by differences in headcount, contract scope, and operational complexity between units.</w:t>
      </w:r>
    </w:p>
    <w:p/>
    <w:p>
      <w:r>
        <w:rPr>
          <w:rFonts w:ascii="Source Sans Pro" w:hAnsi="Source Sans Pro"/>
          <w:b w:val="0"/>
          <w:i w:val="0"/>
          <w:color w:val="64748B"/>
          <w:sz w:val="18"/>
        </w:rPr>
        <w:t>Report generated: 09 April 2026 at 15:39</w:t>
      </w:r>
    </w:p>
    <w:sectPr w:rsidR="00FC693F" w:rsidRPr="0006063C" w:rsidSect="00034616">
      <w:pgSz w:w="12240" w:h="15840"/>
      <w:pgMar w:top="850" w:right="907" w:bottom="794" w:left="90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ans Pro" w:hAnsi="Source Sans Pro"/>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Source Sans Pro" w:hAnsi="Source Sans Pro"/>
      <w:b/>
      <w:bCs/>
      <w:color w:val="0B3254"/>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Source Sans Pro" w:hAnsi="Source Sans Pro"/>
      <w:b/>
      <w:bCs/>
      <w:color w:val="13B5EA"/>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Source Sans Pro" w:hAnsi="Source Sans Pro"/>
      <w:b/>
      <w:bCs/>
      <w:color w:val="0B3254"/>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png"/><Relationship Id="rId17" Type="http://schemas.openxmlformats.org/officeDocument/2006/relationships/image" Target="media/image9.png"/><Relationship Id="rId18" Type="http://schemas.openxmlformats.org/officeDocument/2006/relationships/image" Target="media/image10.png"/><Relationship Id="rId19" Type="http://schemas.openxmlformats.org/officeDocument/2006/relationships/image" Target="media/image11.png"/><Relationship Id="rId20"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