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Source Sans Pro" w:hAnsi="Source Sans Pro"/>
          <w:b/>
          <w:i w:val="0"/>
          <w:color w:val="0B3254"/>
          <w:sz w:val="56"/>
        </w:rPr>
        <w:t>SHEQ Safety Performance Report</w:t>
      </w:r>
    </w:p>
    <w:p/>
    <w:p>
      <w:pPr>
        <w:jc w:val="center"/>
      </w:pPr>
      <w:r>
        <w:rPr>
          <w:rFonts w:ascii="Source Sans Pro" w:hAnsi="Source Sans Pro"/>
          <w:b w:val="0"/>
          <w:i w:val="0"/>
          <w:color w:val="13B5EA"/>
          <w:sz w:val="32"/>
        </w:rPr>
        <w:t>Safety Energy &amp; Leading Indicator Analysis</w:t>
      </w:r>
    </w:p>
    <w:p/>
    <w:p>
      <w:pPr>
        <w:jc w:val="center"/>
      </w:pPr>
      <w:r>
        <w:rPr>
          <w:rFonts w:ascii="Source Sans Pro" w:hAnsi="Source Sans Pro"/>
          <w:b w:val="0"/>
          <w:i w:val="0"/>
          <w:color w:val="13B5EA"/>
          <w:sz w:val="26"/>
        </w:rPr>
        <w:t>Events: 08 Jul 2023 – 31 Dec 2025</w:t>
      </w:r>
    </w:p>
    <w:p/>
    <w:p>
      <w:pPr>
        <w:jc w:val="center"/>
      </w:pPr>
      <w:r>
        <w:rPr>
          <w:rFonts w:ascii="Source Sans Pro" w:hAnsi="Source Sans Pro"/>
          <w:b w:val="0"/>
          <w:i w:val="0"/>
          <w:color w:val="64748B"/>
          <w:sz w:val="24"/>
        </w:rPr>
        <w:t>Leading Activities: 01 Jan 2024 – 31 Dec 2025</w:t>
      </w:r>
    </w:p>
    <w:p/>
    <w:p/>
    <w:p>
      <w:pPr>
        <w:jc w:val="center"/>
      </w:pPr>
      <w:r>
        <w:rPr>
          <w:rFonts w:ascii="Source Sans Pro" w:hAnsi="Source Sans Pro"/>
          <w:b w:val="0"/>
          <w:i/>
          <w:color w:val="64748B"/>
          <w:sz w:val="20"/>
        </w:rPr>
        <w:t>Generated: 09 April 2026</w:t>
      </w:r>
    </w:p>
    <w:p>
      <w:pPr>
        <w:jc w:val="center"/>
      </w:pPr>
      <w:r>
        <w:rPr>
          <w:rFonts w:ascii="Source Sans Pro" w:hAnsi="Source Sans Pro"/>
          <w:b w:val="0"/>
          <w:i w:val="0"/>
          <w:color w:val="64748B"/>
          <w:sz w:val="20"/>
        </w:rPr>
        <w:t>Ventia  •  Infrastructure Services  •  Water &amp; Environmental Services</w:t>
      </w:r>
    </w:p>
    <w:p>
      <w:r>
        <w:br w:type="page"/>
      </w:r>
    </w:p>
    <w:p>
      <w:pPr>
        <w:pStyle w:val="Heading1"/>
      </w:pPr>
      <w:r>
        <w:t>1. Executive Summary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Metric</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Analysis Period</w:t>
            </w:r>
          </w:p>
        </w:tc>
        <w:tc>
          <w:tcPr>
            <w:tcW w:type="dxa" w:w="5040"/>
            <w:shd w:fill="f0f5fa" w:val="clear"/>
          </w:tcPr>
          <w:p>
            <w:r/>
            <w:r>
              <w:rPr>
                <w:rFonts w:ascii="Source Sans Pro" w:hAnsi="Source Sans Pro"/>
                <w:sz w:val="18"/>
              </w:rPr>
              <w:t>01 Jan 2024 – 31 Dec 2025</w:t>
            </w:r>
          </w:p>
        </w:tc>
      </w:tr>
      <w:tr>
        <w:tc>
          <w:tcPr>
            <w:tcW w:type="dxa" w:w="4320"/>
            <w:shd w:fill="ffffff" w:val="clear"/>
          </w:tcPr>
          <w:p>
            <w:r/>
            <w:r>
              <w:rPr>
                <w:rFonts w:ascii="Source Sans Pro" w:hAnsi="Source Sans Pro"/>
                <w:sz w:val="18"/>
              </w:rPr>
              <w:t>Duration</w:t>
            </w:r>
          </w:p>
        </w:tc>
        <w:tc>
          <w:tcPr>
            <w:tcW w:type="dxa" w:w="5040"/>
            <w:shd w:fill="ffffff" w:val="clear"/>
          </w:tcPr>
          <w:p>
            <w:r/>
            <w:r>
              <w:rPr>
                <w:rFonts w:ascii="Source Sans Pro" w:hAnsi="Source Sans Pro"/>
                <w:sz w:val="18"/>
              </w:rPr>
              <w:t>24 months</w:t>
            </w:r>
          </w:p>
        </w:tc>
      </w:tr>
      <w:tr>
        <w:tc>
          <w:tcPr>
            <w:tcW w:type="dxa" w:w="4320"/>
            <w:shd w:fill="f0f5fa" w:val="clear"/>
          </w:tcPr>
          <w:p>
            <w:r/>
            <w:r>
              <w:rPr>
                <w:rFonts w:ascii="Source Sans Pro" w:hAnsi="Source Sans Pro"/>
                <w:sz w:val="18"/>
              </w:rPr>
              <w:t>Total Events</w:t>
            </w:r>
          </w:p>
        </w:tc>
        <w:tc>
          <w:tcPr>
            <w:tcW w:type="dxa" w:w="5040"/>
            <w:shd w:fill="f0f5fa" w:val="clear"/>
          </w:tcPr>
          <w:p>
            <w:r/>
            <w:r>
              <w:rPr>
                <w:rFonts w:ascii="Source Sans Pro" w:hAnsi="Source Sans Pro"/>
                <w:sz w:val="18"/>
              </w:rPr>
              <w:t>2621</w:t>
            </w:r>
          </w:p>
        </w:tc>
      </w:tr>
      <w:tr>
        <w:tc>
          <w:tcPr>
            <w:tcW w:type="dxa" w:w="4320"/>
            <w:shd w:fill="ffffff" w:val="clear"/>
          </w:tcPr>
          <w:p>
            <w:r/>
            <w:r>
              <w:rPr>
                <w:rFonts w:ascii="Source Sans Pro" w:hAnsi="Source Sans Pro"/>
                <w:sz w:val="18"/>
              </w:rPr>
              <w:t>Events per Month</w:t>
            </w:r>
          </w:p>
        </w:tc>
        <w:tc>
          <w:tcPr>
            <w:tcW w:type="dxa" w:w="5040"/>
            <w:shd w:fill="ffffff" w:val="clear"/>
          </w:tcPr>
          <w:p>
            <w:r/>
            <w:r>
              <w:rPr>
                <w:rFonts w:ascii="Source Sans Pro" w:hAnsi="Source Sans Pro"/>
                <w:sz w:val="18"/>
              </w:rPr>
              <w:t>109.2</w:t>
            </w:r>
          </w:p>
        </w:tc>
      </w:tr>
      <w:tr>
        <w:tc>
          <w:tcPr>
            <w:tcW w:type="dxa" w:w="4320"/>
            <w:shd w:fill="f0f5fa" w:val="clear"/>
          </w:tcPr>
          <w:p>
            <w:r/>
            <w:r>
              <w:rPr>
                <w:rFonts w:ascii="Source Sans Pro" w:hAnsi="Source Sans Pro"/>
                <w:sz w:val="18"/>
              </w:rPr>
              <w:t>Moderate+ Consequence</w:t>
            </w:r>
          </w:p>
        </w:tc>
        <w:tc>
          <w:tcPr>
            <w:tcW w:type="dxa" w:w="5040"/>
            <w:shd w:fill="f0f5fa" w:val="clear"/>
          </w:tcPr>
          <w:p>
            <w:r/>
            <w:r>
              <w:rPr>
                <w:rFonts w:ascii="Source Sans Pro" w:hAnsi="Source Sans Pro"/>
                <w:sz w:val="18"/>
              </w:rPr>
              <w:t>88 (3.4%)</w:t>
            </w:r>
          </w:p>
        </w:tc>
      </w:tr>
      <w:tr>
        <w:tc>
          <w:tcPr>
            <w:tcW w:type="dxa" w:w="4320"/>
            <w:shd w:fill="ffffff" w:val="clear"/>
          </w:tcPr>
          <w:p>
            <w:r/>
            <w:r>
              <w:rPr>
                <w:rFonts w:ascii="Source Sans Pro" w:hAnsi="Source Sans Pro"/>
                <w:sz w:val="18"/>
              </w:rPr>
              <w:t>Lost Time Injuries</w:t>
            </w:r>
          </w:p>
        </w:tc>
        <w:tc>
          <w:tcPr>
            <w:tcW w:type="dxa" w:w="5040"/>
            <w:shd w:fill="ffffff" w:val="clear"/>
          </w:tcPr>
          <w:p>
            <w:r/>
            <w:r>
              <w:rPr>
                <w:rFonts w:ascii="Source Sans Pro" w:hAnsi="Source Sans Pro"/>
                <w:sz w:val="18"/>
              </w:rPr>
              <w:t>31</w:t>
            </w:r>
          </w:p>
        </w:tc>
      </w:tr>
      <w:tr>
        <w:tc>
          <w:tcPr>
            <w:tcW w:type="dxa" w:w="4320"/>
            <w:shd w:fill="f0f5fa" w:val="clear"/>
          </w:tcPr>
          <w:p>
            <w:r/>
            <w:r>
              <w:rPr>
                <w:rFonts w:ascii="Source Sans Pro" w:hAnsi="Source Sans Pro"/>
                <w:sz w:val="18"/>
              </w:rPr>
              <w:t>First Aid Treatments</w:t>
            </w:r>
          </w:p>
        </w:tc>
        <w:tc>
          <w:tcPr>
            <w:tcW w:type="dxa" w:w="5040"/>
            <w:shd w:fill="f0f5fa" w:val="clear"/>
          </w:tcPr>
          <w:p>
            <w:r/>
            <w:r>
              <w:rPr>
                <w:rFonts w:ascii="Source Sans Pro" w:hAnsi="Source Sans Pro"/>
                <w:sz w:val="18"/>
              </w:rPr>
              <w:t>407</w:t>
            </w:r>
          </w:p>
        </w:tc>
      </w:tr>
      <w:tr>
        <w:tc>
          <w:tcPr>
            <w:tcW w:type="dxa" w:w="4320"/>
            <w:shd w:fill="ffffff" w:val="clear"/>
          </w:tcPr>
          <w:p>
            <w:r/>
            <w:r>
              <w:rPr>
                <w:rFonts w:ascii="Source Sans Pro" w:hAnsi="Source Sans Pro"/>
                <w:sz w:val="18"/>
              </w:rPr>
              <w:t>Motor Vehicle Events</w:t>
            </w:r>
          </w:p>
        </w:tc>
        <w:tc>
          <w:tcPr>
            <w:tcW w:type="dxa" w:w="5040"/>
            <w:shd w:fill="ffffff" w:val="clear"/>
          </w:tcPr>
          <w:p>
            <w:r/>
            <w:r>
              <w:rPr>
                <w:rFonts w:ascii="Source Sans Pro" w:hAnsi="Source Sans Pro"/>
                <w:sz w:val="18"/>
              </w:rPr>
              <w:t>279 (10.6% of all events)</w:t>
            </w:r>
          </w:p>
        </w:tc>
      </w:tr>
    </w:tbl>
    <w:p/>
    <w:p>
      <w:pPr>
        <w:pStyle w:val="Heading2"/>
      </w:pPr>
      <w:r>
        <w:t>Safety Energy Overview</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Leading Indicator</w:t>
            </w:r>
          </w:p>
        </w:tc>
        <w:tc>
          <w:tcPr>
            <w:tcW w:type="dxa" w:w="4320"/>
            <w:shd w:fill="0b3254" w:val="clear"/>
          </w:tcPr>
          <w:p>
            <w:r/>
            <w:r>
              <w:rPr>
                <w:rFonts w:ascii="Source Sans Pro" w:hAnsi="Source Sans Pro"/>
                <w:b/>
                <w:color w:val="FFFFFF"/>
                <w:sz w:val="18"/>
              </w:rPr>
              <w:t>Count / Status</w:t>
            </w:r>
          </w:p>
        </w:tc>
      </w:tr>
      <w:tr>
        <w:tc>
          <w:tcPr>
            <w:tcW w:type="dxa" w:w="5040"/>
            <w:shd w:fill="f0f5fa" w:val="clear"/>
          </w:tcPr>
          <w:p>
            <w:r/>
            <w:r>
              <w:rPr>
                <w:rFonts w:ascii="Source Sans Pro" w:hAnsi="Source Sans Pro"/>
                <w:sz w:val="18"/>
              </w:rPr>
              <w:t>LLC (Leader Learning Conversations)</w:t>
            </w:r>
          </w:p>
        </w:tc>
        <w:tc>
          <w:tcPr>
            <w:tcW w:type="dxa" w:w="4320"/>
            <w:shd w:fill="f0f5fa" w:val="clear"/>
          </w:tcPr>
          <w:p>
            <w:r/>
            <w:r>
              <w:rPr>
                <w:rFonts w:ascii="Source Sans Pro" w:hAnsi="Source Sans Pro"/>
                <w:sz w:val="18"/>
              </w:rPr>
              <w:t>5954</w:t>
            </w:r>
          </w:p>
        </w:tc>
      </w:tr>
      <w:tr>
        <w:tc>
          <w:tcPr>
            <w:tcW w:type="dxa" w:w="5040"/>
            <w:shd w:fill="ffffff" w:val="clear"/>
          </w:tcPr>
          <w:p>
            <w:r/>
            <w:r>
              <w:rPr>
                <w:rFonts w:ascii="Source Sans Pro" w:hAnsi="Source Sans Pro"/>
                <w:sz w:val="18"/>
              </w:rPr>
              <w:t>CCC (Critical Control Checks)</w:t>
            </w:r>
          </w:p>
        </w:tc>
        <w:tc>
          <w:tcPr>
            <w:tcW w:type="dxa" w:w="4320"/>
            <w:shd w:fill="ffffff" w:val="clear"/>
          </w:tcPr>
          <w:p>
            <w:r/>
            <w:r>
              <w:rPr>
                <w:rFonts w:ascii="Source Sans Pro" w:hAnsi="Source Sans Pro"/>
                <w:sz w:val="18"/>
              </w:rPr>
              <w:t>7730</w:t>
            </w:r>
          </w:p>
        </w:tc>
      </w:tr>
      <w:tr>
        <w:tc>
          <w:tcPr>
            <w:tcW w:type="dxa" w:w="5040"/>
            <w:shd w:fill="f0f5fa" w:val="clear"/>
          </w:tcPr>
          <w:p>
            <w:r/>
            <w:r>
              <w:rPr>
                <w:rFonts w:ascii="Source Sans Pro" w:hAnsi="Source Sans Pro"/>
                <w:sz w:val="18"/>
              </w:rPr>
              <w:t>OCC (Operational Control Checks)</w:t>
            </w:r>
          </w:p>
        </w:tc>
        <w:tc>
          <w:tcPr>
            <w:tcW w:type="dxa" w:w="4320"/>
            <w:shd w:fill="f0f5fa" w:val="clear"/>
          </w:tcPr>
          <w:p>
            <w:r/>
            <w:r>
              <w:rPr>
                <w:rFonts w:ascii="Source Sans Pro" w:hAnsi="Source Sans Pro"/>
                <w:sz w:val="18"/>
              </w:rPr>
              <w:t>5789</w:t>
            </w:r>
          </w:p>
        </w:tc>
      </w:tr>
      <w:tr>
        <w:tc>
          <w:tcPr>
            <w:tcW w:type="dxa" w:w="5040"/>
            <w:shd w:fill="ffffff" w:val="clear"/>
          </w:tcPr>
          <w:p>
            <w:r/>
            <w:r>
              <w:rPr>
                <w:rFonts w:ascii="Source Sans Pro" w:hAnsi="Source Sans Pro"/>
                <w:sz w:val="18"/>
              </w:rPr>
              <w:t>Total Leading Activities</w:t>
            </w:r>
          </w:p>
        </w:tc>
        <w:tc>
          <w:tcPr>
            <w:tcW w:type="dxa" w:w="4320"/>
            <w:shd w:fill="ffffff" w:val="clear"/>
          </w:tcPr>
          <w:p>
            <w:r/>
            <w:r>
              <w:rPr>
                <w:rFonts w:ascii="Source Sans Pro" w:hAnsi="Source Sans Pro"/>
                <w:sz w:val="18"/>
              </w:rPr>
              <w:t>19473</w:t>
            </w:r>
          </w:p>
        </w:tc>
      </w:tr>
      <w:tr>
        <w:tc>
          <w:tcPr>
            <w:tcW w:type="dxa" w:w="5040"/>
            <w:shd w:fill="f0f5fa" w:val="clear"/>
          </w:tcPr>
          <w:p>
            <w:r/>
            <w:r>
              <w:rPr>
                <w:rFonts w:ascii="Source Sans Pro" w:hAnsi="Source Sans Pro"/>
                <w:sz w:val="18"/>
              </w:rPr>
              <w:t>Activity Trend</w:t>
            </w:r>
          </w:p>
        </w:tc>
        <w:tc>
          <w:tcPr>
            <w:tcW w:type="dxa" w:w="4320"/>
            <w:shd w:fill="f0f5fa" w:val="clear"/>
          </w:tcPr>
          <w:p>
            <w:r/>
            <w:r>
              <w:rPr>
                <w:rFonts w:ascii="Source Sans Pro" w:hAnsi="Source Sans Pro"/>
                <w:sz w:val="18"/>
              </w:rPr>
              <w:t>stable (+8%)</w:t>
            </w:r>
          </w:p>
        </w:tc>
      </w:tr>
    </w:tbl>
    <w:p/>
    <w:p>
      <w:pPr>
        <w:pStyle w:val="Heading2"/>
      </w:pPr>
      <w:r>
        <w:t>Key Findings</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Moderate-or-above consequence events make up 3.4% of recorded events. Review whether controls around the highest-consequence scenarios are being verified often enough in field activity.</w:t>
      </w:r>
    </w:p>
    <w:p>
      <w:pPr>
        <w:pStyle w:val="ListBullet"/>
      </w:pPr>
      <w:r>
        <w:rPr>
          <w:rFonts w:ascii="Source Sans Pro" w:hAnsi="Source Sans Pro"/>
          <w:b w:val="0"/>
          <w:i w:val="0"/>
          <w:color w:val="0B3254"/>
          <w:sz w:val="22"/>
        </w:rPr>
        <w:t>31 Lost Time Injuries were recorded in the analysis window. Review the underlying work types, contributing factors, and recovery actions for common patterns.</w:t>
      </w:r>
    </w:p>
    <w:p>
      <w:pPr>
        <w:pStyle w:val="ListBullet"/>
      </w:pPr>
      <w:r>
        <w:rPr>
          <w:rFonts w:ascii="Source Sans Pro" w:hAnsi="Source Sans Pro"/>
          <w:b w:val="0"/>
          <w:i w:val="0"/>
          <w:color w:val="0B3254"/>
          <w:sz w:val="22"/>
        </w:rPr>
        <w:t>Serious events are most frequently recorded in Afternoon (12:00-17:59). Use this to target pre-start, supervision, and fatigue controls at the riskiest parts of the day.</w:t>
      </w:r>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2880"/>
        <w:gridCol w:w="2880"/>
        <w:gridCol w:w="2880"/>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p>
      <w:r>
        <w:rPr>
          <w:rFonts w:ascii="Source Sans Pro" w:hAnsi="Source Sans Pro"/>
          <w:b w:val="0"/>
          <w:i w:val="0"/>
          <w:color w:val="0B3254"/>
          <w:sz w:val="22"/>
        </w:rPr>
        <w:t>Safety Energy is the combined analytical domain covering three leading activity types: Leader Learning Conversations (LLC), Critical Control Checks (CCC), and Operational Control Checks (OCC).  Together these form the primary leading indicator dataset for the organisation.</w:t>
      </w:r>
    </w:p>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8" name="Picture 8"/>
            <wp:cNvGraphicFramePr>
              <a:graphicFrameLocks noChangeAspect="1"/>
            </wp:cNvGraphicFramePr>
            <a:graphic>
              <a:graphicData uri="http://schemas.openxmlformats.org/drawingml/2006/picture">
                <pic:pic>
                  <pic:nvPicPr>
                    <pic:cNvPr id="0" name="ch_quality_trend.png"/>
                    <pic:cNvPicPr/>
                  </pic:nvPicPr>
                  <pic:blipFill>
                    <a:blip r:embed="rId16"/>
                    <a:stretch>
                      <a:fillRect/>
                    </a:stretch>
                  </pic:blipFill>
                  <pic:spPr>
                    <a:xfrm>
                      <a:off x="0" y="0"/>
                      <a:ext cx="5486400" cy="1967826"/>
                    </a:xfrm>
                    <a:prstGeom prst="rect"/>
                  </pic:spPr>
                </pic:pic>
              </a:graphicData>
            </a:graphic>
          </wp:inline>
        </w:drawing>
      </w:r>
    </w:p>
    <w:p/>
    <w:tbl>
      <w:tblPr>
        <w:tblStyle w:val="TableGrid"/>
        <w:tblW w:type="auto" w:w="0"/>
        <w:jc w:val="left"/>
        <w:tblLook w:firstColumn="1" w:firstRow="1" w:lastColumn="0" w:lastRow="0" w:noHBand="0" w:noVBand="1" w:val="04A0"/>
      </w:tblPr>
      <w:tblGrid>
        <w:gridCol w:w="1234"/>
        <w:gridCol w:w="1234"/>
        <w:gridCol w:w="1234"/>
        <w:gridCol w:w="1234"/>
        <w:gridCol w:w="1234"/>
        <w:gridCol w:w="1234"/>
        <w:gridCol w:w="1234"/>
      </w:tblGrid>
      <w:tr>
        <w:tc>
          <w:tcPr>
            <w:tcW w:type="dxa" w:w="1440"/>
            <w:shd w:fill="0b3254" w:val="clear"/>
          </w:tcPr>
          <w:p>
            <w:r/>
            <w:r>
              <w:rPr>
                <w:rFonts w:ascii="Source Sans Pro" w:hAnsi="Source Sans Pro"/>
                <w:b/>
                <w:color w:val="FFFFFF"/>
                <w:sz w:val="18"/>
              </w:rPr>
              <w:t>Type</w:t>
            </w:r>
          </w:p>
        </w:tc>
        <w:tc>
          <w:tcPr>
            <w:tcW w:type="dxa" w:w="1440"/>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584"/>
            <w:shd w:fill="0b3254" w:val="clear"/>
          </w:tcPr>
          <w:p>
            <w:r/>
            <w:r>
              <w:rPr>
                <w:rFonts w:ascii="Source Sans Pro" w:hAnsi="Source Sans Pro"/>
                <w:b/>
                <w:color w:val="FFFFFF"/>
                <w:sz w:val="18"/>
              </w:rPr>
              <w:t>Meaningful</w:t>
            </w:r>
          </w:p>
        </w:tc>
        <w:tc>
          <w:tcPr>
            <w:tcW w:type="dxa" w:w="1440"/>
            <w:shd w:fill="0b3254" w:val="clear"/>
          </w:tcPr>
          <w:p>
            <w:r/>
            <w:r>
              <w:rPr>
                <w:rFonts w:ascii="Source Sans Pro" w:hAnsi="Source Sans Pro"/>
                <w:b/>
                <w:color w:val="FFFFFF"/>
                <w:sz w:val="18"/>
              </w:rPr>
              <w:t>High Value</w:t>
            </w:r>
          </w:p>
        </w:tc>
        <w:tc>
          <w:tcPr>
            <w:tcW w:type="dxa" w:w="1440"/>
            <w:shd w:fill="0b3254" w:val="clear"/>
          </w:tcPr>
          <w:p>
            <w:r/>
            <w:r>
              <w:rPr>
                <w:rFonts w:ascii="Source Sans Pro" w:hAnsi="Source Sans Pro"/>
                <w:b/>
                <w:color w:val="FFFFFF"/>
                <w:sz w:val="18"/>
              </w:rPr>
              <w:t>Shallow</w:t>
            </w:r>
          </w:p>
        </w:tc>
        <w:tc>
          <w:tcPr>
            <w:tcW w:type="dxa" w:w="1440"/>
            <w:shd w:fill="0b3254" w:val="clear"/>
          </w:tcPr>
          <w:p>
            <w:r/>
            <w:r>
              <w:rPr>
                <w:rFonts w:ascii="Source Sans Pro" w:hAnsi="Source Sans Pro"/>
                <w:b/>
                <w:color w:val="FFFFFF"/>
                <w:sz w:val="18"/>
              </w:rPr>
              <w:t>Follow-up</w:t>
            </w:r>
          </w:p>
        </w:tc>
      </w:tr>
      <w:tr>
        <w:tc>
          <w:tcPr>
            <w:tcW w:type="dxa" w:w="1440"/>
            <w:shd w:fill="f0f5fa" w:val="clear"/>
          </w:tcPr>
          <w:p>
            <w:r/>
            <w:r>
              <w:rPr>
                <w:rFonts w:ascii="Source Sans Pro" w:hAnsi="Source Sans Pro"/>
                <w:sz w:val="18"/>
              </w:rPr>
              <w:t>LLC</w:t>
            </w:r>
          </w:p>
        </w:tc>
        <w:tc>
          <w:tcPr>
            <w:tcW w:type="dxa" w:w="1440"/>
            <w:shd w:fill="f0f5fa" w:val="clear"/>
          </w:tcPr>
          <w:p>
            <w:r/>
            <w:r>
              <w:rPr>
                <w:rFonts w:ascii="Source Sans Pro" w:hAnsi="Source Sans Pro"/>
                <w:sz w:val="18"/>
              </w:rPr>
              <w:t>5954</w:t>
            </w:r>
          </w:p>
        </w:tc>
        <w:tc>
          <w:tcPr>
            <w:tcW w:type="dxa" w:w="1440"/>
            <w:shd w:fill="f0f5fa" w:val="clear"/>
          </w:tcPr>
          <w:p>
            <w:r/>
            <w:r>
              <w:rPr>
                <w:rFonts w:ascii="Source Sans Pro" w:hAnsi="Source Sans Pro"/>
                <w:sz w:val="18"/>
              </w:rPr>
              <w:t>58.2</w:t>
            </w:r>
          </w:p>
        </w:tc>
        <w:tc>
          <w:tcPr>
            <w:tcW w:type="dxa" w:w="1584"/>
            <w:shd w:fill="f0f5fa" w:val="clear"/>
          </w:tcPr>
          <w:p>
            <w:r/>
            <w:r>
              <w:rPr>
                <w:rFonts w:ascii="Source Sans Pro" w:hAnsi="Source Sans Pro"/>
                <w:sz w:val="18"/>
              </w:rPr>
              <w:t>61.5%</w:t>
            </w:r>
          </w:p>
        </w:tc>
        <w:tc>
          <w:tcPr>
            <w:tcW w:type="dxa" w:w="1440"/>
            <w:shd w:fill="f0f5fa" w:val="clear"/>
          </w:tcPr>
          <w:p>
            <w:r/>
            <w:r>
              <w:rPr>
                <w:rFonts w:ascii="Source Sans Pro" w:hAnsi="Source Sans Pro"/>
                <w:sz w:val="18"/>
              </w:rPr>
              <w:t>19.8%</w:t>
            </w:r>
          </w:p>
        </w:tc>
        <w:tc>
          <w:tcPr>
            <w:tcW w:type="dxa" w:w="1440"/>
            <w:shd w:fill="f0f5fa" w:val="clear"/>
          </w:tcPr>
          <w:p>
            <w:r/>
            <w:r>
              <w:rPr>
                <w:rFonts w:ascii="Source Sans Pro" w:hAnsi="Source Sans Pro"/>
                <w:sz w:val="18"/>
              </w:rPr>
              <w:t>2.8%</w:t>
            </w:r>
          </w:p>
        </w:tc>
        <w:tc>
          <w:tcPr>
            <w:tcW w:type="dxa" w:w="1440"/>
            <w:shd w:fill="f0f5fa" w:val="clear"/>
          </w:tcPr>
          <w:p>
            <w:r/>
            <w:r>
              <w:rPr>
                <w:rFonts w:ascii="Source Sans Pro" w:hAnsi="Source Sans Pro"/>
                <w:sz w:val="18"/>
              </w:rPr>
              <w:t>42.2%</w:t>
            </w:r>
          </w:p>
        </w:tc>
      </w:tr>
      <w:tr>
        <w:tc>
          <w:tcPr>
            <w:tcW w:type="dxa" w:w="1440"/>
            <w:shd w:fill="ffffff" w:val="clear"/>
          </w:tcPr>
          <w:p>
            <w:r/>
            <w:r>
              <w:rPr>
                <w:rFonts w:ascii="Source Sans Pro" w:hAnsi="Source Sans Pro"/>
                <w:sz w:val="18"/>
              </w:rPr>
              <w:t>CCC</w:t>
            </w:r>
          </w:p>
        </w:tc>
        <w:tc>
          <w:tcPr>
            <w:tcW w:type="dxa" w:w="1440"/>
            <w:shd w:fill="ffffff" w:val="clear"/>
          </w:tcPr>
          <w:p>
            <w:r/>
            <w:r>
              <w:rPr>
                <w:rFonts w:ascii="Source Sans Pro" w:hAnsi="Source Sans Pro"/>
                <w:sz w:val="18"/>
              </w:rPr>
              <w:t>7730</w:t>
            </w:r>
          </w:p>
        </w:tc>
        <w:tc>
          <w:tcPr>
            <w:tcW w:type="dxa" w:w="1440"/>
            <w:shd w:fill="ffffff" w:val="clear"/>
          </w:tcPr>
          <w:p>
            <w:r/>
            <w:r>
              <w:rPr>
                <w:rFonts w:ascii="Source Sans Pro" w:hAnsi="Source Sans Pro"/>
                <w:sz w:val="18"/>
              </w:rPr>
              <w:t>28.2</w:t>
            </w:r>
          </w:p>
        </w:tc>
        <w:tc>
          <w:tcPr>
            <w:tcW w:type="dxa" w:w="1584"/>
            <w:shd w:fill="ffffff" w:val="clear"/>
          </w:tcPr>
          <w:p>
            <w:r/>
            <w:r>
              <w:rPr>
                <w:rFonts w:ascii="Source Sans Pro" w:hAnsi="Source Sans Pro"/>
                <w:sz w:val="18"/>
              </w:rPr>
              <w:t>6.5%</w:t>
            </w:r>
          </w:p>
        </w:tc>
        <w:tc>
          <w:tcPr>
            <w:tcW w:type="dxa" w:w="1440"/>
            <w:shd w:fill="ffffff" w:val="clear"/>
          </w:tcPr>
          <w:p>
            <w:r/>
            <w:r>
              <w:rPr>
                <w:rFonts w:ascii="Source Sans Pro" w:hAnsi="Source Sans Pro"/>
                <w:sz w:val="18"/>
              </w:rPr>
              <w:t>1.4%</w:t>
            </w:r>
          </w:p>
        </w:tc>
        <w:tc>
          <w:tcPr>
            <w:tcW w:type="dxa" w:w="1440"/>
            <w:shd w:fill="ffffff" w:val="clear"/>
          </w:tcPr>
          <w:p>
            <w:r/>
            <w:r>
              <w:rPr>
                <w:rFonts w:ascii="Source Sans Pro" w:hAnsi="Source Sans Pro"/>
                <w:sz w:val="18"/>
              </w:rPr>
              <w:t>68.3%</w:t>
            </w:r>
          </w:p>
        </w:tc>
        <w:tc>
          <w:tcPr>
            <w:tcW w:type="dxa" w:w="1440"/>
            <w:shd w:fill="ffffff" w:val="clear"/>
          </w:tcPr>
          <w:p>
            <w:r/>
            <w:r>
              <w:rPr>
                <w:rFonts w:ascii="Source Sans Pro" w:hAnsi="Source Sans Pro"/>
                <w:sz w:val="18"/>
              </w:rPr>
              <w:t>16.4%</w:t>
            </w:r>
          </w:p>
        </w:tc>
      </w:tr>
      <w:tr>
        <w:tc>
          <w:tcPr>
            <w:tcW w:type="dxa" w:w="1440"/>
            <w:shd w:fill="f0f5fa" w:val="clear"/>
          </w:tcPr>
          <w:p>
            <w:r/>
            <w:r>
              <w:rPr>
                <w:rFonts w:ascii="Source Sans Pro" w:hAnsi="Source Sans Pro"/>
                <w:sz w:val="18"/>
              </w:rPr>
              <w:t>OCC</w:t>
            </w:r>
          </w:p>
        </w:tc>
        <w:tc>
          <w:tcPr>
            <w:tcW w:type="dxa" w:w="1440"/>
            <w:shd w:fill="f0f5fa" w:val="clear"/>
          </w:tcPr>
          <w:p>
            <w:r/>
            <w:r>
              <w:rPr>
                <w:rFonts w:ascii="Source Sans Pro" w:hAnsi="Source Sans Pro"/>
                <w:sz w:val="18"/>
              </w:rPr>
              <w:t>5789</w:t>
            </w:r>
          </w:p>
        </w:tc>
        <w:tc>
          <w:tcPr>
            <w:tcW w:type="dxa" w:w="1440"/>
            <w:shd w:fill="f0f5fa" w:val="clear"/>
          </w:tcPr>
          <w:p>
            <w:r/>
            <w:r>
              <w:rPr>
                <w:rFonts w:ascii="Source Sans Pro" w:hAnsi="Source Sans Pro"/>
                <w:sz w:val="18"/>
              </w:rPr>
              <w:t>10.4</w:t>
            </w:r>
          </w:p>
        </w:tc>
        <w:tc>
          <w:tcPr>
            <w:tcW w:type="dxa" w:w="1584"/>
            <w:shd w:fill="f0f5fa" w:val="clear"/>
          </w:tcPr>
          <w:p>
            <w:r/>
            <w:r>
              <w:rPr>
                <w:rFonts w:ascii="Source Sans Pro" w:hAnsi="Source Sans Pro"/>
                <w:sz w:val="18"/>
              </w:rPr>
              <w:t>1.5%</w:t>
            </w:r>
          </w:p>
        </w:tc>
        <w:tc>
          <w:tcPr>
            <w:tcW w:type="dxa" w:w="1440"/>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91.9%</w:t>
            </w:r>
          </w:p>
        </w:tc>
        <w:tc>
          <w:tcPr>
            <w:tcW w:type="dxa" w:w="1440"/>
            <w:shd w:fill="f0f5fa" w:val="clear"/>
          </w:tcPr>
          <w:p>
            <w:r/>
            <w:r>
              <w:rPr>
                <w:rFonts w:ascii="Source Sans Pro" w:hAnsi="Source Sans Pro"/>
                <w:sz w:val="18"/>
              </w:rPr>
              <w:t>10.0%</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4.8 CCC / OCCC / LLC Value Signals</w:t>
      </w:r>
    </w:p>
    <w:p>
      <w:r>
        <w:rPr>
          <w:rFonts w:ascii="Source Sans Pro" w:hAnsi="Source Sans Pro"/>
          <w:b w:val="0"/>
          <w:i w:val="0"/>
          <w:color w:val="0B3254"/>
          <w:sz w:val="22"/>
        </w:rPr>
        <w:t>CCC: average quality 28.2/100, 28.3% preventive signal, 8.8% reactive signal, 19.1% repetitive signal, 68.3% shallow.</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7.3% preventive signal, 4.9% reactive signal, 23.4% repetitive signal, 91.9% shallow.</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75.7% preventive signal, 12.3% reactive signal, 0.5% repetitive signal, 2.8% shallow.</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9" name="Picture 9"/>
            <wp:cNvGraphicFramePr>
              <a:graphicFrameLocks noChangeAspect="1"/>
            </wp:cNvGraphicFramePr>
            <a:graphic>
              <a:graphicData uri="http://schemas.openxmlformats.org/drawingml/2006/picture">
                <pic:pic>
                  <pic:nvPicPr>
                    <pic:cNvPr id="0" name="ch_overlay.png"/>
                    <pic:cNvPicPr/>
                  </pic:nvPicPr>
                  <pic:blipFill>
                    <a:blip r:embed="rId17"/>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0" name="Picture 10"/>
            <wp:cNvGraphicFramePr>
              <a:graphicFrameLocks noChangeAspect="1"/>
            </wp:cNvGraphicFramePr>
            <a:graphic>
              <a:graphicData uri="http://schemas.openxmlformats.org/drawingml/2006/picture">
                <pic:pic>
                  <pic:nvPicPr>
                    <pic:cNvPr id="0" name="ch_bu_comparison.png"/>
                    <pic:cNvPicPr/>
                  </pic:nvPicPr>
                  <pic:blipFill>
                    <a:blip r:embed="rId18"/>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1" name="Picture 11"/>
            <wp:cNvGraphicFramePr>
              <a:graphicFrameLocks noChangeAspect="1"/>
            </wp:cNvGraphicFramePr>
            <a:graphic>
              <a:graphicData uri="http://schemas.openxmlformats.org/drawingml/2006/picture">
                <pic:pic>
                  <pic:nvPicPr>
                    <pic:cNvPr id="0" name="ch_at_risk_themes.png"/>
                    <pic:cNvPicPr/>
                  </pic:nvPicPr>
                  <pic:blipFill>
                    <a:blip r:embed="rId19"/>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Slips/Trips/Falls</w:t>
      </w:r>
    </w:p>
    <w:p>
      <w:pPr>
        <w:pStyle w:val="ListBullet"/>
      </w:pPr>
      <w:r>
        <w:rPr>
          <w:rFonts w:ascii="Source Sans Pro" w:hAnsi="Source Sans Pro"/>
          <w:b w:val="0"/>
          <w:i w:val="0"/>
          <w:color w:val="0B3254"/>
          <w:sz w:val="22"/>
        </w:rPr>
        <w:t>Fatigue</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p>
      <w:r>
        <w:rPr>
          <w:rFonts w:ascii="Source Sans Pro" w:hAnsi="Source Sans Pro"/>
          <w:b w:val="0"/>
          <w:i w:val="0"/>
          <w:color w:val="0B3254"/>
          <w:sz w:val="22"/>
        </w:rPr>
        <w:t>This section examines whether periods of higher or lower leading-activity engagement appear associated with changes in event frequency. Findings are associative only.</w:t>
      </w:r>
    </w:p>
    <w:p/>
    <w:p>
      <w:pPr>
        <w:pStyle w:val="Heading2"/>
      </w:pPr>
      <w:r>
        <w:t>7.1 Business Unit Comparison</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2" name="Picture 12"/>
            <wp:cNvGraphicFramePr>
              <a:graphicFrameLocks noChangeAspect="1"/>
            </wp:cNvGraphicFramePr>
            <a:graphic>
              <a:graphicData uri="http://schemas.openxmlformats.org/drawingml/2006/picture">
                <pic:pic>
                  <pic:nvPicPr>
                    <pic:cNvPr id="0" name="ch_low_value_units.png"/>
                    <pic:cNvPicPr/>
                  </pic:nvPicPr>
                  <pic:blipFill>
                    <a:blip r:embed="rId20"/>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p>
      <w:r>
        <w:rPr>
          <w:rFonts w:ascii="Source Sans Pro" w:hAnsi="Source Sans Pro"/>
          <w:b w:val="0"/>
          <w:i w:val="0"/>
          <w:color w:val="0B3254"/>
          <w:sz w:val="22"/>
        </w:rPr>
        <w:t>The following recommended actions are derived directly from the analysis findings in this report. Priority items are listed first.</w:t>
      </w:r>
    </w:p>
    <w:p/>
    <w:p>
      <w:pPr>
        <w:pStyle w:val="ListBullet"/>
      </w:pPr>
      <w:r>
        <w:rPr>
          <w:rFonts w:ascii="Source Sans Pro" w:hAnsi="Source Sans Pro"/>
          <w:b w:val="0"/>
          <w:i w:val="0"/>
          <w:color w:val="0B3254"/>
          <w:sz w:val="22"/>
        </w:rPr>
        <w:t>Moderate-or-above consequence events make up 3.4% of recorded events. Review whether controls around the highest-consequence scenarios are being verified often enough in field activity.</w:t>
      </w:r>
    </w:p>
    <w:p>
      <w:pPr>
        <w:pStyle w:val="ListBullet"/>
      </w:pPr>
      <w:r>
        <w:rPr>
          <w:rFonts w:ascii="Source Sans Pro" w:hAnsi="Source Sans Pro"/>
          <w:b w:val="0"/>
          <w:i w:val="0"/>
          <w:color w:val="0B3254"/>
          <w:sz w:val="22"/>
        </w:rPr>
        <w:t>31 Lost Time Injuries were recorded in the analysis window. Review the underlying work types, contributing factors, and recovery actions for common patterns.</w:t>
      </w:r>
    </w:p>
    <w:p>
      <w:pPr>
        <w:pStyle w:val="ListBullet"/>
      </w:pPr>
      <w:r>
        <w:rPr>
          <w:rFonts w:ascii="Source Sans Pro" w:hAnsi="Source Sans Pro"/>
          <w:b w:val="0"/>
          <w:i w:val="0"/>
          <w:color w:val="0B3254"/>
          <w:sz w:val="22"/>
        </w:rPr>
        <w:t>Serious events are most frequently recorded in Afternoon (12:00-17:59). Use this to target pre-start, supervision, and fatigue controls at the riskiest parts of the day.</w:t>
      </w:r>
    </w:p>
    <w:p>
      <w:pPr>
        <w:pStyle w:val="ListBullet"/>
      </w:pPr>
      <w:r>
        <w:rPr>
          <w:rFonts w:ascii="Source Sans Pro" w:hAnsi="Source Sans Pro"/>
          <w:b w:val="0"/>
          <w:i w:val="0"/>
          <w:color w:val="0B3254"/>
          <w:sz w:val="22"/>
        </w:rPr>
        <w:t>Motor vehicle events account for 10.6% of all events. Review journey management, road conditions, and vehicle type patterns in the MVE section.</w:t>
      </w:r>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The following risk themes appear frequently in events but are under-represented in LLC conversations: Slips/Trips/Falls, Fatigue. Consider incorporating these topics into forthcoming LLC schedules.</w:t>
      </w:r>
    </w:p>
    <w:p>
      <w:pPr>
        <w:pStyle w:val="ListBullet"/>
      </w:pPr>
      <w:r>
        <w:rPr>
          <w:rFonts w:ascii="Source Sans Pro" w:hAnsi="Source Sans Pro"/>
          <w:b w:val="0"/>
          <w:i w:val="0"/>
          <w:color w:val="0B3254"/>
          <w:sz w:val="22"/>
        </w:rPr>
        <w:t>Resources has a high-volume / low-value CCC pattern (2869 records, 67.7% shallow). Sample the underlying entries with local leaders and tighten expectations for narrative quality and follow-up.</w:t>
      </w:r>
    </w:p>
    <w:p>
      <w:pPr>
        <w:pStyle w:val="ListBullet"/>
      </w:pPr>
      <w:r>
        <w:rPr>
          <w:rFonts w:ascii="Source Sans Pro" w:hAnsi="Source Sans Pro"/>
          <w:b w:val="0"/>
          <w:i w:val="0"/>
          <w:color w:val="0B3254"/>
          <w:sz w:val="22"/>
        </w:rPr>
        <w:t>Water &amp; Environmental Services has a high-volume / low-value CCC pattern (2567 records, 70.5% shallow). Sample the underlying entries with local leaders and tighten expectations for narrative quality and follow-up.</w:t>
      </w:r>
    </w:p>
    <w:p>
      <w:pPr>
        <w:pStyle w:val="ListBullet"/>
      </w:pPr>
      <w:r>
        <w:rPr>
          <w:rFonts w:ascii="Source Sans Pro" w:hAnsi="Source Sans Pro"/>
          <w:b w:val="0"/>
          <w:i w:val="0"/>
          <w:color w:val="0B3254"/>
          <w:sz w:val="22"/>
        </w:rPr>
        <w:t>Resources has a high-volume / low-value OCC pattern (2375 records, 91.2% shallow). Sample the underlying entries with local leaders and tighten expectations for narrative quality and follow-up.</w:t>
      </w:r>
    </w:p>
    <w:p>
      <w:pPr>
        <w:pStyle w:val="ListBullet"/>
      </w:pPr>
      <w:r>
        <w:rPr>
          <w:rFonts w:ascii="Source Sans Pro" w:hAnsi="Source Sans Pro"/>
          <w:b w:val="0"/>
          <w:i w:val="0"/>
          <w:color w:val="0B3254"/>
          <w:sz w:val="22"/>
        </w:rPr>
        <w:t>Use CCC quality, not just CCC count, as a leadership KPI. Track shallow-entry rate, follow-up rate, and repeated wording monthly.</w:t>
      </w:r>
    </w:p>
    <w:p>
      <w:pPr>
        <w:pStyle w:val="ListBullet"/>
      </w:pPr>
      <w:r>
        <w:rPr>
          <w:rFonts w:ascii="Source Sans Pro" w:hAnsi="Source Sans Pro"/>
          <w:b w:val="0"/>
          <w:i w:val="0"/>
          <w:color w:val="0B3254"/>
          <w:sz w:val="22"/>
        </w:rPr>
        <w:t>Review the highest-volume low-value Business Units with their leaders and sample the underlying records to confirm whether quality concerns are real or data-entry related.</w:t>
      </w:r>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4320"/>
        <w:gridCol w:w="4320"/>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15:17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