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>
      <w:pPr>
        <w:jc w:val="center"/>
      </w:pPr>
      <w:r>
        <w:rPr>
          <w:rFonts w:ascii="Source Sans Pro" w:hAnsi="Source Sans Pro"/>
          <w:b/>
          <w:color w:val="0B3254"/>
          <w:sz w:val="56"/>
        </w:rPr>
        <w:t>SHEQ Incident Analysis</w:t>
      </w:r>
    </w:p>
    <w:p>
      <w:pPr>
        <w:jc w:val="center"/>
      </w:pPr>
      <w:r>
        <w:rPr>
          <w:rFonts w:ascii="Source Sans Pro" w:hAnsi="Source Sans Pro"/>
          <w:color w:val="13B5EA"/>
          <w:sz w:val="32"/>
        </w:rPr>
        <w:t>Far North Waters Project</w:t>
      </w:r>
    </w:p>
    <w:p>
      <w:pPr>
        <w:jc w:val="center"/>
      </w:pPr>
      <w:r>
        <w:rPr>
          <w:rFonts w:ascii="Source Sans Pro" w:hAnsi="Source Sans Pro"/>
          <w:color w:val="13B5EA"/>
          <w:sz w:val="28"/>
        </w:rPr>
        <w:t>Jan 2024 – Mar 2026 (MTD)</w:t>
      </w:r>
    </w:p>
    <w:p/>
    <w:p>
      <w:pPr>
        <w:jc w:val="center"/>
      </w:pPr>
      <w:r>
        <w:rPr>
          <w:rFonts w:ascii="Source Sans Pro" w:hAnsi="Source Sans Pro"/>
          <w:b/>
          <w:color w:val="0B3254"/>
          <w:sz w:val="26"/>
        </w:rPr>
        <w:t>Performance by Project Director</w:t>
      </w:r>
    </w:p>
    <w:p>
      <w:pPr>
        <w:jc w:val="center"/>
      </w:pPr>
      <w:r>
        <w:rPr>
          <w:b/>
          <w:color w:val="0B3254"/>
        </w:rPr>
        <w:t xml:space="preserve">Matthew Arthur </w:t>
      </w:r>
      <w:r>
        <w:rPr>
          <w:color w:val="64748B"/>
        </w:rPr>
        <w:t xml:space="preserve">(Jan 2024 – Mar 2025)   |   </w:t>
      </w:r>
      <w:r>
        <w:rPr>
          <w:b/>
          <w:color w:val="13B5EA"/>
        </w:rPr>
        <w:t xml:space="preserve">Manga </w:t>
      </w:r>
      <w:r>
        <w:rPr>
          <w:color w:val="64748B"/>
        </w:rPr>
        <w:t>(Apr 2025 – Mar 2026)</w:t>
      </w:r>
    </w:p>
    <w:p/>
    <w:p>
      <w:pPr>
        <w:jc w:val="center"/>
      </w:pPr>
      <w:r>
        <w:rPr>
          <w:color w:val="64748B"/>
          <w:sz w:val="20"/>
        </w:rPr>
        <w:t>Ventia • Infrastructure Services • Water &amp; Environmental Services</w:t>
      </w:r>
    </w:p>
    <w:p>
      <w:r>
        <w:br w:type="page"/>
      </w:r>
    </w:p>
    <w:p>
      <w:pPr>
        <w:pStyle w:val="Heading1"/>
      </w:pPr>
      <w:r>
        <w:t>1. Executive Summary</w:t>
      </w:r>
    </w:p>
    <w:p>
      <w:r>
        <w:rPr>
          <w:b w:val="0"/>
        </w:rPr>
        <w:t>This report analyses 123 SHEQ events recorded for the Far North Waters project from Jan 2024 to Mar 2026 (month-to-date). The analysis is structured around two Project Director tenures to enable performance comparison: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fill="0b3254" w:val="clear"/>
          </w:tcPr>
          <w:p>
            <w:r/>
            <w:r>
              <w:rPr>
                <w:rFonts w:ascii="Source Sans Pro" w:hAnsi="Source Sans Pro"/>
                <w:b/>
                <w:color w:val="FFFFFF"/>
                <w:sz w:val="18"/>
              </w:rPr>
            </w:r>
          </w:p>
        </w:tc>
        <w:tc>
          <w:tcPr>
            <w:tcW w:type="dxa" w:w="3168"/>
            <w:shd w:fill="0b3254" w:val="clear"/>
          </w:tcPr>
          <w:p>
            <w:r/>
            <w:r>
              <w:rPr>
                <w:rFonts w:ascii="Source Sans Pro" w:hAnsi="Source Sans Pro"/>
                <w:b/>
                <w:color w:val="FFFFFF"/>
                <w:sz w:val="18"/>
              </w:rPr>
              <w:t>Matthew Arthur</w:t>
            </w:r>
          </w:p>
        </w:tc>
        <w:tc>
          <w:tcPr>
            <w:tcW w:type="dxa" w:w="3312"/>
            <w:shd w:fill="0b3254" w:val="clear"/>
          </w:tcPr>
          <w:p>
            <w:r/>
            <w:r>
              <w:rPr>
                <w:rFonts w:ascii="Source Sans Pro" w:hAnsi="Source Sans Pro"/>
                <w:b/>
                <w:color w:val="FFFFFF"/>
                <w:sz w:val="18"/>
              </w:rPr>
              <w:t>Manga</w:t>
            </w:r>
          </w:p>
        </w:tc>
      </w:tr>
      <w:tr>
        <w:tc>
          <w:tcPr>
            <w:tcW w:type="dxa" w:w="2880"/>
            <w:shd w:fill="F0F5FA" w:val="clear"/>
          </w:tcPr>
          <w:p>
            <w:r/>
            <w:r>
              <w:rPr>
                <w:rFonts w:ascii="Source Sans Pro" w:hAnsi="Source Sans Pro"/>
                <w:sz w:val="18"/>
              </w:rPr>
              <w:t>Period</w:t>
            </w:r>
          </w:p>
        </w:tc>
        <w:tc>
          <w:tcPr>
            <w:tcW w:type="dxa" w:w="3168"/>
            <w:shd w:fill="F0F5FA" w:val="clear"/>
          </w:tcPr>
          <w:p>
            <w:r/>
            <w:r>
              <w:rPr>
                <w:rFonts w:ascii="Source Sans Pro" w:hAnsi="Source Sans Pro"/>
                <w:sz w:val="18"/>
              </w:rPr>
              <w:t>Jan 2024 – Mar 2025</w:t>
            </w:r>
          </w:p>
        </w:tc>
        <w:tc>
          <w:tcPr>
            <w:tcW w:type="dxa" w:w="3312"/>
            <w:shd w:fill="F0F5FA" w:val="clear"/>
          </w:tcPr>
          <w:p>
            <w:r/>
            <w:r>
              <w:rPr>
                <w:rFonts w:ascii="Source Sans Pro" w:hAnsi="Source Sans Pro"/>
                <w:sz w:val="18"/>
              </w:rPr>
              <w:t>Apr 2025 – Mar 2026</w:t>
            </w:r>
          </w:p>
        </w:tc>
      </w:tr>
      <w:tr>
        <w:tc>
          <w:tcPr>
            <w:tcW w:type="dxa" w:w="2880"/>
            <w:shd w:fill="FFFFFF" w:val="clear"/>
          </w:tcPr>
          <w:p>
            <w:r/>
            <w:r>
              <w:rPr>
                <w:rFonts w:ascii="Source Sans Pro" w:hAnsi="Source Sans Pro"/>
                <w:sz w:val="18"/>
              </w:rPr>
              <w:t>Duration</w:t>
            </w:r>
          </w:p>
        </w:tc>
        <w:tc>
          <w:tcPr>
            <w:tcW w:type="dxa" w:w="3168"/>
            <w:shd w:fill="FFFFFF" w:val="clear"/>
          </w:tcPr>
          <w:p>
            <w:r/>
            <w:r>
              <w:rPr>
                <w:rFonts w:ascii="Source Sans Pro" w:hAnsi="Source Sans Pro"/>
                <w:sz w:val="18"/>
              </w:rPr>
              <w:t>15 months</w:t>
            </w:r>
          </w:p>
        </w:tc>
        <w:tc>
          <w:tcPr>
            <w:tcW w:type="dxa" w:w="3312"/>
            <w:shd w:fill="FFFFFF" w:val="clear"/>
          </w:tcPr>
          <w:p>
            <w:r/>
            <w:r>
              <w:rPr>
                <w:rFonts w:ascii="Source Sans Pro" w:hAnsi="Source Sans Pro"/>
                <w:sz w:val="18"/>
              </w:rPr>
              <w:t>12 months</w:t>
            </w:r>
          </w:p>
        </w:tc>
      </w:tr>
      <w:tr>
        <w:tc>
          <w:tcPr>
            <w:tcW w:type="dxa" w:w="2880"/>
            <w:shd w:fill="F0F5FA" w:val="clear"/>
          </w:tcPr>
          <w:p>
            <w:r/>
            <w:r>
              <w:rPr>
                <w:rFonts w:ascii="Source Sans Pro" w:hAnsi="Source Sans Pro"/>
                <w:sz w:val="18"/>
              </w:rPr>
              <w:t>Total Events</w:t>
            </w:r>
          </w:p>
        </w:tc>
        <w:tc>
          <w:tcPr>
            <w:tcW w:type="dxa" w:w="3168"/>
            <w:shd w:fill="F0F5FA" w:val="clear"/>
          </w:tcPr>
          <w:p>
            <w:r/>
            <w:r>
              <w:rPr>
                <w:rFonts w:ascii="Source Sans Pro" w:hAnsi="Source Sans Pro"/>
                <w:sz w:val="18"/>
              </w:rPr>
              <w:t>65</w:t>
            </w:r>
          </w:p>
        </w:tc>
        <w:tc>
          <w:tcPr>
            <w:tcW w:type="dxa" w:w="3312"/>
            <w:shd w:fill="F0F5FA" w:val="clear"/>
          </w:tcPr>
          <w:p>
            <w:r/>
            <w:r>
              <w:rPr>
                <w:rFonts w:ascii="Source Sans Pro" w:hAnsi="Source Sans Pro"/>
                <w:sz w:val="18"/>
              </w:rPr>
              <w:t>58</w:t>
            </w:r>
          </w:p>
        </w:tc>
      </w:tr>
      <w:tr>
        <w:tc>
          <w:tcPr>
            <w:tcW w:type="dxa" w:w="2880"/>
            <w:shd w:fill="FFFFFF" w:val="clear"/>
          </w:tcPr>
          <w:p>
            <w:r/>
            <w:r>
              <w:rPr>
                <w:rFonts w:ascii="Source Sans Pro" w:hAnsi="Source Sans Pro"/>
                <w:sz w:val="18"/>
              </w:rPr>
              <w:t>Events per Month</w:t>
            </w:r>
          </w:p>
        </w:tc>
        <w:tc>
          <w:tcPr>
            <w:tcW w:type="dxa" w:w="3168"/>
            <w:shd w:fill="FFFFFF" w:val="clear"/>
          </w:tcPr>
          <w:p>
            <w:r/>
            <w:r>
              <w:rPr>
                <w:rFonts w:ascii="Source Sans Pro" w:hAnsi="Source Sans Pro"/>
                <w:sz w:val="18"/>
              </w:rPr>
              <w:t>4.3</w:t>
            </w:r>
          </w:p>
        </w:tc>
        <w:tc>
          <w:tcPr>
            <w:tcW w:type="dxa" w:w="3312"/>
            <w:shd w:fill="FFFFFF" w:val="clear"/>
          </w:tcPr>
          <w:p>
            <w:r/>
            <w:r>
              <w:rPr>
                <w:rFonts w:ascii="Source Sans Pro" w:hAnsi="Source Sans Pro"/>
                <w:sz w:val="18"/>
              </w:rPr>
              <w:t>4.8</w:t>
            </w:r>
          </w:p>
        </w:tc>
      </w:tr>
      <w:tr>
        <w:tc>
          <w:tcPr>
            <w:tcW w:type="dxa" w:w="2880"/>
            <w:shd w:fill="F0F5FA" w:val="clear"/>
          </w:tcPr>
          <w:p>
            <w:r/>
            <w:r>
              <w:rPr>
                <w:rFonts w:ascii="Source Sans Pro" w:hAnsi="Source Sans Pro"/>
                <w:sz w:val="18"/>
              </w:rPr>
              <w:t>Injuries</w:t>
            </w:r>
          </w:p>
        </w:tc>
        <w:tc>
          <w:tcPr>
            <w:tcW w:type="dxa" w:w="3168"/>
            <w:shd w:fill="F0F5FA" w:val="clear"/>
          </w:tcPr>
          <w:p>
            <w:r/>
            <w:r>
              <w:rPr>
                <w:rFonts w:ascii="Source Sans Pro" w:hAnsi="Source Sans Pro"/>
                <w:sz w:val="18"/>
              </w:rPr>
              <w:t>10 (15.4%)</w:t>
            </w:r>
          </w:p>
        </w:tc>
        <w:tc>
          <w:tcPr>
            <w:tcW w:type="dxa" w:w="3312"/>
            <w:shd w:fill="F0F5FA" w:val="clear"/>
          </w:tcPr>
          <w:p>
            <w:r/>
            <w:r>
              <w:rPr>
                <w:rFonts w:ascii="Source Sans Pro" w:hAnsi="Source Sans Pro"/>
                <w:sz w:val="18"/>
              </w:rPr>
              <w:t>11 (19.0%)</w:t>
            </w:r>
          </w:p>
        </w:tc>
      </w:tr>
      <w:tr>
        <w:tc>
          <w:tcPr>
            <w:tcW w:type="dxa" w:w="2880"/>
            <w:shd w:fill="FFFFFF" w:val="clear"/>
          </w:tcPr>
          <w:p>
            <w:r/>
            <w:r>
              <w:rPr>
                <w:rFonts w:ascii="Source Sans Pro" w:hAnsi="Source Sans Pro"/>
                <w:sz w:val="18"/>
              </w:rPr>
              <w:t>Motor Vehicle Events</w:t>
            </w:r>
          </w:p>
        </w:tc>
        <w:tc>
          <w:tcPr>
            <w:tcW w:type="dxa" w:w="3168"/>
            <w:shd w:fill="FFFFFF" w:val="clear"/>
          </w:tcPr>
          <w:p>
            <w:r/>
            <w:r>
              <w:rPr>
                <w:rFonts w:ascii="Source Sans Pro" w:hAnsi="Source Sans Pro"/>
                <w:sz w:val="18"/>
              </w:rPr>
              <w:t>5 (7.7%)</w:t>
            </w:r>
          </w:p>
        </w:tc>
        <w:tc>
          <w:tcPr>
            <w:tcW w:type="dxa" w:w="3312"/>
            <w:shd w:fill="FFFFFF" w:val="clear"/>
          </w:tcPr>
          <w:p>
            <w:r/>
            <w:r>
              <w:rPr>
                <w:rFonts w:ascii="Source Sans Pro" w:hAnsi="Source Sans Pro"/>
                <w:sz w:val="18"/>
              </w:rPr>
              <w:t>9 (15.5%)</w:t>
            </w:r>
          </w:p>
        </w:tc>
      </w:tr>
      <w:tr>
        <w:tc>
          <w:tcPr>
            <w:tcW w:type="dxa" w:w="2880"/>
            <w:shd w:fill="F0F5FA" w:val="clear"/>
          </w:tcPr>
          <w:p>
            <w:r/>
            <w:r>
              <w:rPr>
                <w:rFonts w:ascii="Source Sans Pro" w:hAnsi="Source Sans Pro"/>
                <w:sz w:val="18"/>
              </w:rPr>
              <w:t>Lost Time Injuries</w:t>
            </w:r>
          </w:p>
        </w:tc>
        <w:tc>
          <w:tcPr>
            <w:tcW w:type="dxa" w:w="3168"/>
            <w:shd w:fill="F0F5FA" w:val="clear"/>
          </w:tcPr>
          <w:p>
            <w:r/>
            <w:r>
              <w:rPr>
                <w:rFonts w:ascii="Source Sans Pro" w:hAnsi="Source Sans Pro"/>
                <w:sz w:val="18"/>
              </w:rPr>
              <w:t>0</w:t>
            </w:r>
          </w:p>
        </w:tc>
        <w:tc>
          <w:tcPr>
            <w:tcW w:type="dxa" w:w="3312"/>
            <w:shd w:fill="F0F5FA" w:val="clear"/>
          </w:tcPr>
          <w:p>
            <w:r/>
            <w:r>
              <w:rPr>
                <w:rFonts w:ascii="Source Sans Pro" w:hAnsi="Source Sans Pro"/>
                <w:sz w:val="18"/>
              </w:rPr>
              <w:t>2</w:t>
            </w:r>
          </w:p>
        </w:tc>
      </w:tr>
      <w:tr>
        <w:tc>
          <w:tcPr>
            <w:tcW w:type="dxa" w:w="2880"/>
            <w:shd w:fill="FFFFFF" w:val="clear"/>
          </w:tcPr>
          <w:p>
            <w:r/>
            <w:r>
              <w:rPr>
                <w:rFonts w:ascii="Source Sans Pro" w:hAnsi="Source Sans Pro"/>
                <w:sz w:val="18"/>
              </w:rPr>
              <w:t>First Aid Treatments</w:t>
            </w:r>
          </w:p>
        </w:tc>
        <w:tc>
          <w:tcPr>
            <w:tcW w:type="dxa" w:w="3168"/>
            <w:shd w:fill="FFFFFF" w:val="clear"/>
          </w:tcPr>
          <w:p>
            <w:r/>
            <w:r>
              <w:rPr>
                <w:rFonts w:ascii="Source Sans Pro" w:hAnsi="Source Sans Pro"/>
                <w:sz w:val="18"/>
              </w:rPr>
              <w:t>7</w:t>
            </w:r>
          </w:p>
        </w:tc>
        <w:tc>
          <w:tcPr>
            <w:tcW w:type="dxa" w:w="3312"/>
            <w:shd w:fill="FFFFFF" w:val="clear"/>
          </w:tcPr>
          <w:p>
            <w:r/>
            <w:r>
              <w:rPr>
                <w:rFonts w:ascii="Source Sans Pro" w:hAnsi="Source Sans Pro"/>
                <w:sz w:val="18"/>
              </w:rPr>
              <w:t>2</w:t>
            </w:r>
          </w:p>
        </w:tc>
      </w:tr>
      <w:tr>
        <w:tc>
          <w:tcPr>
            <w:tcW w:type="dxa" w:w="2880"/>
            <w:shd w:fill="F0F5FA" w:val="clear"/>
          </w:tcPr>
          <w:p>
            <w:r/>
            <w:r>
              <w:rPr>
                <w:rFonts w:ascii="Source Sans Pro" w:hAnsi="Source Sans Pro"/>
                <w:sz w:val="18"/>
              </w:rPr>
              <w:t>Close Calls</w:t>
            </w:r>
          </w:p>
        </w:tc>
        <w:tc>
          <w:tcPr>
            <w:tcW w:type="dxa" w:w="3168"/>
            <w:shd w:fill="F0F5FA" w:val="clear"/>
          </w:tcPr>
          <w:p>
            <w:r/>
            <w:r>
              <w:rPr>
                <w:rFonts w:ascii="Source Sans Pro" w:hAnsi="Source Sans Pro"/>
                <w:sz w:val="18"/>
              </w:rPr>
              <w:t>13 (20.0%)</w:t>
            </w:r>
          </w:p>
        </w:tc>
        <w:tc>
          <w:tcPr>
            <w:tcW w:type="dxa" w:w="3312"/>
            <w:shd w:fill="F0F5FA" w:val="clear"/>
          </w:tcPr>
          <w:p>
            <w:r/>
            <w:r>
              <w:rPr>
                <w:rFonts w:ascii="Source Sans Pro" w:hAnsi="Source Sans Pro"/>
                <w:sz w:val="18"/>
              </w:rPr>
              <w:t>4 (6.9%)</w:t>
            </w:r>
          </w:p>
        </w:tc>
      </w:tr>
      <w:tr>
        <w:tc>
          <w:tcPr>
            <w:tcW w:type="dxa" w:w="2880"/>
            <w:shd w:fill="FFFFFF" w:val="clear"/>
          </w:tcPr>
          <w:p>
            <w:r/>
            <w:r>
              <w:rPr>
                <w:rFonts w:ascii="Source Sans Pro" w:hAnsi="Source Sans Pro"/>
                <w:sz w:val="18"/>
              </w:rPr>
              <w:t>Moderate+ Consequence</w:t>
            </w:r>
          </w:p>
        </w:tc>
        <w:tc>
          <w:tcPr>
            <w:tcW w:type="dxa" w:w="3168"/>
            <w:shd w:fill="FFFFFF" w:val="clear"/>
          </w:tcPr>
          <w:p>
            <w:r/>
            <w:r>
              <w:rPr>
                <w:rFonts w:ascii="Source Sans Pro" w:hAnsi="Source Sans Pro"/>
                <w:sz w:val="18"/>
              </w:rPr>
              <w:t>2 (3.1%)</w:t>
            </w:r>
          </w:p>
        </w:tc>
        <w:tc>
          <w:tcPr>
            <w:tcW w:type="dxa" w:w="3312"/>
            <w:shd w:fill="FFFFFF" w:val="clear"/>
          </w:tcPr>
          <w:p>
            <w:r/>
            <w:r>
              <w:rPr>
                <w:rFonts w:ascii="Source Sans Pro" w:hAnsi="Source Sans Pro"/>
                <w:sz w:val="18"/>
              </w:rPr>
              <w:t>11 (19.0%)</w:t>
            </w:r>
          </w:p>
        </w:tc>
      </w:tr>
      <w:tr>
        <w:tc>
          <w:tcPr>
            <w:tcW w:type="dxa" w:w="2880"/>
            <w:shd w:fill="F0F5FA" w:val="clear"/>
          </w:tcPr>
          <w:p>
            <w:r/>
            <w:r>
              <w:rPr>
                <w:rFonts w:ascii="Source Sans Pro" w:hAnsi="Source Sans Pro"/>
                <w:sz w:val="18"/>
              </w:rPr>
              <w:t>Median Days to Investigate</w:t>
            </w:r>
          </w:p>
        </w:tc>
        <w:tc>
          <w:tcPr>
            <w:tcW w:type="dxa" w:w="3168"/>
            <w:shd w:fill="F0F5FA" w:val="clear"/>
          </w:tcPr>
          <w:p>
            <w:r/>
            <w:r>
              <w:rPr>
                <w:rFonts w:ascii="Source Sans Pro" w:hAnsi="Source Sans Pro"/>
                <w:sz w:val="18"/>
              </w:rPr>
              <w:t>15</w:t>
            </w:r>
          </w:p>
        </w:tc>
        <w:tc>
          <w:tcPr>
            <w:tcW w:type="dxa" w:w="3312"/>
            <w:shd w:fill="F0F5FA" w:val="clear"/>
          </w:tcPr>
          <w:p>
            <w:r/>
            <w:r>
              <w:rPr>
                <w:rFonts w:ascii="Source Sans Pro" w:hAnsi="Source Sans Pro"/>
                <w:sz w:val="18"/>
              </w:rPr>
              <w:t>14</w:t>
            </w:r>
          </w:p>
        </w:tc>
      </w:tr>
      <w:tr>
        <w:tc>
          <w:tcPr>
            <w:tcW w:type="dxa" w:w="2880"/>
            <w:shd w:fill="FFFFFF" w:val="clear"/>
          </w:tcPr>
          <w:p>
            <w:r/>
            <w:r>
              <w:rPr>
                <w:rFonts w:ascii="Source Sans Pro" w:hAnsi="Source Sans Pro"/>
                <w:sz w:val="18"/>
              </w:rPr>
              <w:t>Median Days to Close</w:t>
            </w:r>
          </w:p>
        </w:tc>
        <w:tc>
          <w:tcPr>
            <w:tcW w:type="dxa" w:w="3168"/>
            <w:shd w:fill="FFFFFF" w:val="clear"/>
          </w:tcPr>
          <w:p>
            <w:r/>
            <w:r>
              <w:rPr>
                <w:rFonts w:ascii="Source Sans Pro" w:hAnsi="Source Sans Pro"/>
                <w:sz w:val="18"/>
              </w:rPr>
              <w:t>46</w:t>
            </w:r>
          </w:p>
        </w:tc>
        <w:tc>
          <w:tcPr>
            <w:tcW w:type="dxa" w:w="3312"/>
            <w:shd w:fill="FFFFFF" w:val="clear"/>
          </w:tcPr>
          <w:p>
            <w:r/>
            <w:r>
              <w:rPr>
                <w:rFonts w:ascii="Source Sans Pro" w:hAnsi="Source Sans Pro"/>
                <w:sz w:val="18"/>
              </w:rPr>
              <w:t>44</w:t>
            </w:r>
          </w:p>
        </w:tc>
      </w:tr>
    </w:tbl>
    <w:p/>
    <w:p>
      <w:pPr>
        <w:pStyle w:val="Heading2"/>
      </w:pPr>
      <w:r>
        <w:t>Key Comparative Findings</w:t>
      </w:r>
    </w:p>
    <w:p>
      <w:pPr>
        <w:pStyle w:val="ListBullet"/>
      </w:pPr>
      <w:r>
        <w:t>Event rate increased under Manga (4.8/month vs 4.3/month), with Moderate+ consequences at 19.0% vs 3.1%.</w:t>
      </w:r>
    </w:p>
    <w:p>
      <w:pPr>
        <w:pStyle w:val="ListBullet"/>
      </w:pPr>
      <w:r>
        <w:t>Motor vehicle events: 9 under Manga vs 5 under Matthew Arthur (15.5% vs 7.7%).</w:t>
      </w:r>
    </w:p>
    <w:p>
      <w:pPr>
        <w:pStyle w:val="ListBullet"/>
      </w:pPr>
      <w:r>
        <w:t>Close call reporting: 6.9% under Manga vs 20.0% under Matthew Arthur.</w:t>
      </w:r>
    </w:p>
    <w:p>
      <w:pPr>
        <w:pStyle w:val="ListBullet"/>
      </w:pPr>
      <w:r>
        <w:t>2 Lost Time Injuries under Manga compared to 0 under Matthew Arthur.</w:t>
      </w:r>
    </w:p>
    <w:p>
      <w:r>
        <w:br w:type="page"/>
      </w:r>
    </w:p>
    <w:p>
      <w:pPr>
        <w:pStyle w:val="Heading1"/>
      </w:pPr>
      <w:r>
        <w:t>2. Monthly Event Trends</w:t>
      </w:r>
    </w:p>
    <w:p>
      <w:r>
        <w:rPr>
          <w:b w:val="0"/>
        </w:rPr>
        <w:t>The chart below shows monthly event counts across both Project Director periods.</w:t>
      </w:r>
    </w:p>
    <w:p>
      <w:r>
        <w:drawing>
          <wp:inline xmlns:a="http://schemas.openxmlformats.org/drawingml/2006/main" xmlns:pic="http://schemas.openxmlformats.org/drawingml/2006/picture">
            <wp:extent cx="5303520" cy="20876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monthly_by_pd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208764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pStyle w:val="Heading1"/>
      </w:pPr>
      <w:r>
        <w:t>3. Event Type Comparison</w:t>
      </w:r>
    </w:p>
    <w:p>
      <w:r>
        <w:drawing>
          <wp:inline xmlns:a="http://schemas.openxmlformats.org/drawingml/2006/main" xmlns:pic="http://schemas.openxmlformats.org/drawingml/2006/picture">
            <wp:extent cx="5029200" cy="2770442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event_type_by_pd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2770442"/>
                    </a:xfrm>
                    <a:prstGeom prst="rect"/>
                  </pic:spPr>
                </pic:pic>
              </a:graphicData>
            </a:graphic>
          </wp:inline>
        </w:drawing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2880"/>
            <w:shd w:fill="0b3254" w:val="clear"/>
          </w:tcPr>
          <w:p>
            <w:r/>
            <w:r>
              <w:rPr>
                <w:rFonts w:ascii="Source Sans Pro" w:hAnsi="Source Sans Pro"/>
                <w:b/>
                <w:color w:val="FFFFFF"/>
                <w:sz w:val="18"/>
              </w:rPr>
              <w:t>Event Type</w:t>
            </w:r>
          </w:p>
        </w:tc>
        <w:tc>
          <w:tcPr>
            <w:tcW w:type="dxa" w:w="1584"/>
            <w:shd w:fill="0b3254" w:val="clear"/>
          </w:tcPr>
          <w:p>
            <w:r/>
            <w:r>
              <w:rPr>
                <w:rFonts w:ascii="Source Sans Pro" w:hAnsi="Source Sans Pro"/>
                <w:b/>
                <w:color w:val="FFFFFF"/>
                <w:sz w:val="18"/>
              </w:rPr>
              <w:t>Matthew Arthur</w:t>
            </w:r>
          </w:p>
        </w:tc>
        <w:tc>
          <w:tcPr>
            <w:tcW w:type="dxa" w:w="1152"/>
            <w:shd w:fill="0b3254" w:val="clear"/>
          </w:tcPr>
          <w:p>
            <w:r/>
            <w:r>
              <w:rPr>
                <w:rFonts w:ascii="Source Sans Pro" w:hAnsi="Source Sans Pro"/>
                <w:b/>
                <w:color w:val="FFFFFF"/>
                <w:sz w:val="18"/>
              </w:rPr>
              <w:t>%</w:t>
            </w:r>
          </w:p>
        </w:tc>
        <w:tc>
          <w:tcPr>
            <w:tcW w:type="dxa" w:w="1440"/>
            <w:shd w:fill="0b3254" w:val="clear"/>
          </w:tcPr>
          <w:p>
            <w:r/>
            <w:r>
              <w:rPr>
                <w:rFonts w:ascii="Source Sans Pro" w:hAnsi="Source Sans Pro"/>
                <w:b/>
                <w:color w:val="FFFFFF"/>
                <w:sz w:val="18"/>
              </w:rPr>
              <w:t>Manga</w:t>
            </w:r>
          </w:p>
        </w:tc>
        <w:tc>
          <w:tcPr>
            <w:tcW w:type="dxa" w:w="1152"/>
            <w:shd w:fill="0b3254" w:val="clear"/>
          </w:tcPr>
          <w:p>
            <w:r/>
            <w:r>
              <w:rPr>
                <w:rFonts w:ascii="Source Sans Pro" w:hAnsi="Source Sans Pro"/>
                <w:b/>
                <w:color w:val="FFFFFF"/>
                <w:sz w:val="18"/>
              </w:rPr>
              <w:t>%</w:t>
            </w:r>
          </w:p>
        </w:tc>
      </w:tr>
      <w:tr>
        <w:tc>
          <w:tcPr>
            <w:tcW w:type="dxa" w:w="2880"/>
            <w:shd w:fill="F0F5FA" w:val="clear"/>
          </w:tcPr>
          <w:p>
            <w:r/>
            <w:r>
              <w:rPr>
                <w:rFonts w:ascii="Source Sans Pro" w:hAnsi="Source Sans Pro"/>
                <w:sz w:val="18"/>
              </w:rPr>
              <w:t>Third Party/Public Liability</w:t>
            </w:r>
          </w:p>
        </w:tc>
        <w:tc>
          <w:tcPr>
            <w:tcW w:type="dxa" w:w="1584"/>
            <w:shd w:fill="F0F5FA" w:val="clear"/>
          </w:tcPr>
          <w:p>
            <w:r/>
            <w:r>
              <w:rPr>
                <w:rFonts w:ascii="Source Sans Pro" w:hAnsi="Source Sans Pro"/>
                <w:sz w:val="18"/>
              </w:rPr>
              <w:t>14</w:t>
            </w:r>
          </w:p>
        </w:tc>
        <w:tc>
          <w:tcPr>
            <w:tcW w:type="dxa" w:w="1152"/>
            <w:shd w:fill="F0F5FA" w:val="clear"/>
          </w:tcPr>
          <w:p>
            <w:r/>
            <w:r>
              <w:rPr>
                <w:rFonts w:ascii="Source Sans Pro" w:hAnsi="Source Sans Pro"/>
                <w:sz w:val="18"/>
              </w:rPr>
              <w:t>21.5%</w:t>
            </w:r>
          </w:p>
        </w:tc>
        <w:tc>
          <w:tcPr>
            <w:tcW w:type="dxa" w:w="1440"/>
            <w:shd w:fill="F0F5FA" w:val="clear"/>
          </w:tcPr>
          <w:p>
            <w:r/>
            <w:r>
              <w:rPr>
                <w:rFonts w:ascii="Source Sans Pro" w:hAnsi="Source Sans Pro"/>
                <w:sz w:val="18"/>
              </w:rPr>
              <w:t>12</w:t>
            </w:r>
          </w:p>
        </w:tc>
        <w:tc>
          <w:tcPr>
            <w:tcW w:type="dxa" w:w="1152"/>
            <w:shd w:fill="F0F5FA" w:val="clear"/>
          </w:tcPr>
          <w:p>
            <w:r/>
            <w:r>
              <w:rPr>
                <w:rFonts w:ascii="Source Sans Pro" w:hAnsi="Source Sans Pro"/>
                <w:sz w:val="18"/>
              </w:rPr>
              <w:t>20.7%</w:t>
            </w:r>
          </w:p>
        </w:tc>
      </w:tr>
      <w:tr>
        <w:tc>
          <w:tcPr>
            <w:tcW w:type="dxa" w:w="2880"/>
            <w:shd w:fill="FFFFFF" w:val="clear"/>
          </w:tcPr>
          <w:p>
            <w:r/>
            <w:r>
              <w:rPr>
                <w:rFonts w:ascii="Source Sans Pro" w:hAnsi="Source Sans Pro"/>
                <w:sz w:val="18"/>
              </w:rPr>
              <w:t>Injury/Illness Sustained</w:t>
            </w:r>
          </w:p>
        </w:tc>
        <w:tc>
          <w:tcPr>
            <w:tcW w:type="dxa" w:w="1584"/>
            <w:shd w:fill="FFFFFF" w:val="clear"/>
          </w:tcPr>
          <w:p>
            <w:r/>
            <w:r>
              <w:rPr>
                <w:rFonts w:ascii="Source Sans Pro" w:hAnsi="Source Sans Pro"/>
                <w:sz w:val="18"/>
              </w:rPr>
              <w:t>10</w:t>
            </w:r>
          </w:p>
        </w:tc>
        <w:tc>
          <w:tcPr>
            <w:tcW w:type="dxa" w:w="1152"/>
            <w:shd w:fill="FFFFFF" w:val="clear"/>
          </w:tcPr>
          <w:p>
            <w:r/>
            <w:r>
              <w:rPr>
                <w:rFonts w:ascii="Source Sans Pro" w:hAnsi="Source Sans Pro"/>
                <w:sz w:val="18"/>
              </w:rPr>
              <w:t>15.4%</w:t>
            </w:r>
          </w:p>
        </w:tc>
        <w:tc>
          <w:tcPr>
            <w:tcW w:type="dxa" w:w="1440"/>
            <w:shd w:fill="FFFFFF" w:val="clear"/>
          </w:tcPr>
          <w:p>
            <w:r/>
            <w:r>
              <w:rPr>
                <w:rFonts w:ascii="Source Sans Pro" w:hAnsi="Source Sans Pro"/>
                <w:sz w:val="18"/>
              </w:rPr>
              <w:t>11</w:t>
            </w:r>
          </w:p>
        </w:tc>
        <w:tc>
          <w:tcPr>
            <w:tcW w:type="dxa" w:w="1152"/>
            <w:shd w:fill="FFFFFF" w:val="clear"/>
          </w:tcPr>
          <w:p>
            <w:r/>
            <w:r>
              <w:rPr>
                <w:rFonts w:ascii="Source Sans Pro" w:hAnsi="Source Sans Pro"/>
                <w:sz w:val="18"/>
              </w:rPr>
              <w:t>19.0%</w:t>
            </w:r>
          </w:p>
        </w:tc>
      </w:tr>
      <w:tr>
        <w:tc>
          <w:tcPr>
            <w:tcW w:type="dxa" w:w="2880"/>
            <w:shd w:fill="F0F5FA" w:val="clear"/>
          </w:tcPr>
          <w:p>
            <w:r/>
            <w:r>
              <w:rPr>
                <w:rFonts w:ascii="Source Sans Pro" w:hAnsi="Source Sans Pro"/>
                <w:sz w:val="18"/>
              </w:rPr>
              <w:t>Equipment/Property Damage</w:t>
            </w:r>
          </w:p>
        </w:tc>
        <w:tc>
          <w:tcPr>
            <w:tcW w:type="dxa" w:w="1584"/>
            <w:shd w:fill="F0F5FA" w:val="clear"/>
          </w:tcPr>
          <w:p>
            <w:r/>
            <w:r>
              <w:rPr>
                <w:rFonts w:ascii="Source Sans Pro" w:hAnsi="Source Sans Pro"/>
                <w:sz w:val="18"/>
              </w:rPr>
              <w:t>13</w:t>
            </w:r>
          </w:p>
        </w:tc>
        <w:tc>
          <w:tcPr>
            <w:tcW w:type="dxa" w:w="1152"/>
            <w:shd w:fill="F0F5FA" w:val="clear"/>
          </w:tcPr>
          <w:p>
            <w:r/>
            <w:r>
              <w:rPr>
                <w:rFonts w:ascii="Source Sans Pro" w:hAnsi="Source Sans Pro"/>
                <w:sz w:val="18"/>
              </w:rPr>
              <w:t>20.0%</w:t>
            </w:r>
          </w:p>
        </w:tc>
        <w:tc>
          <w:tcPr>
            <w:tcW w:type="dxa" w:w="1440"/>
            <w:shd w:fill="F0F5FA" w:val="clear"/>
          </w:tcPr>
          <w:p>
            <w:r/>
            <w:r>
              <w:rPr>
                <w:rFonts w:ascii="Source Sans Pro" w:hAnsi="Source Sans Pro"/>
                <w:sz w:val="18"/>
              </w:rPr>
              <w:t>8</w:t>
            </w:r>
          </w:p>
        </w:tc>
        <w:tc>
          <w:tcPr>
            <w:tcW w:type="dxa" w:w="1152"/>
            <w:shd w:fill="F0F5FA" w:val="clear"/>
          </w:tcPr>
          <w:p>
            <w:r/>
            <w:r>
              <w:rPr>
                <w:rFonts w:ascii="Source Sans Pro" w:hAnsi="Source Sans Pro"/>
                <w:sz w:val="18"/>
              </w:rPr>
              <w:t>13.8%</w:t>
            </w:r>
          </w:p>
        </w:tc>
      </w:tr>
      <w:tr>
        <w:tc>
          <w:tcPr>
            <w:tcW w:type="dxa" w:w="2880"/>
            <w:shd w:fill="FFFFFF" w:val="clear"/>
          </w:tcPr>
          <w:p>
            <w:r/>
            <w:r>
              <w:rPr>
                <w:rFonts w:ascii="Source Sans Pro" w:hAnsi="Source Sans Pro"/>
                <w:sz w:val="18"/>
              </w:rPr>
              <w:t>Close Call</w:t>
            </w:r>
          </w:p>
        </w:tc>
        <w:tc>
          <w:tcPr>
            <w:tcW w:type="dxa" w:w="1584"/>
            <w:shd w:fill="FFFFFF" w:val="clear"/>
          </w:tcPr>
          <w:p>
            <w:r/>
            <w:r>
              <w:rPr>
                <w:rFonts w:ascii="Source Sans Pro" w:hAnsi="Source Sans Pro"/>
                <w:sz w:val="18"/>
              </w:rPr>
              <w:t>13</w:t>
            </w:r>
          </w:p>
        </w:tc>
        <w:tc>
          <w:tcPr>
            <w:tcW w:type="dxa" w:w="1152"/>
            <w:shd w:fill="FFFFFF" w:val="clear"/>
          </w:tcPr>
          <w:p>
            <w:r/>
            <w:r>
              <w:rPr>
                <w:rFonts w:ascii="Source Sans Pro" w:hAnsi="Source Sans Pro"/>
                <w:sz w:val="18"/>
              </w:rPr>
              <w:t>20.0%</w:t>
            </w:r>
          </w:p>
        </w:tc>
        <w:tc>
          <w:tcPr>
            <w:tcW w:type="dxa" w:w="1440"/>
            <w:shd w:fill="FFFFFF" w:val="clear"/>
          </w:tcPr>
          <w:p>
            <w:r/>
            <w:r>
              <w:rPr>
                <w:rFonts w:ascii="Source Sans Pro" w:hAnsi="Source Sans Pro"/>
                <w:sz w:val="18"/>
              </w:rPr>
              <w:t>4</w:t>
            </w:r>
          </w:p>
        </w:tc>
        <w:tc>
          <w:tcPr>
            <w:tcW w:type="dxa" w:w="1152"/>
            <w:shd w:fill="FFFFFF" w:val="clear"/>
          </w:tcPr>
          <w:p>
            <w:r/>
            <w:r>
              <w:rPr>
                <w:rFonts w:ascii="Source Sans Pro" w:hAnsi="Source Sans Pro"/>
                <w:sz w:val="18"/>
              </w:rPr>
              <w:t>6.9%</w:t>
            </w:r>
          </w:p>
        </w:tc>
      </w:tr>
      <w:tr>
        <w:tc>
          <w:tcPr>
            <w:tcW w:type="dxa" w:w="2880"/>
            <w:shd w:fill="F0F5FA" w:val="clear"/>
          </w:tcPr>
          <w:p>
            <w:r/>
            <w:r>
              <w:rPr>
                <w:rFonts w:ascii="Source Sans Pro" w:hAnsi="Source Sans Pro"/>
                <w:sz w:val="18"/>
              </w:rPr>
              <w:t>Motor Vehicle</w:t>
            </w:r>
          </w:p>
        </w:tc>
        <w:tc>
          <w:tcPr>
            <w:tcW w:type="dxa" w:w="1584"/>
            <w:shd w:fill="F0F5FA" w:val="clear"/>
          </w:tcPr>
          <w:p>
            <w:r/>
            <w:r>
              <w:rPr>
                <w:rFonts w:ascii="Source Sans Pro" w:hAnsi="Source Sans Pro"/>
                <w:sz w:val="18"/>
              </w:rPr>
              <w:t>5</w:t>
            </w:r>
          </w:p>
        </w:tc>
        <w:tc>
          <w:tcPr>
            <w:tcW w:type="dxa" w:w="1152"/>
            <w:shd w:fill="F0F5FA" w:val="clear"/>
          </w:tcPr>
          <w:p>
            <w:r/>
            <w:r>
              <w:rPr>
                <w:rFonts w:ascii="Source Sans Pro" w:hAnsi="Source Sans Pro"/>
                <w:sz w:val="18"/>
              </w:rPr>
              <w:t>7.7%</w:t>
            </w:r>
          </w:p>
        </w:tc>
        <w:tc>
          <w:tcPr>
            <w:tcW w:type="dxa" w:w="1440"/>
            <w:shd w:fill="F0F5FA" w:val="clear"/>
          </w:tcPr>
          <w:p>
            <w:r/>
            <w:r>
              <w:rPr>
                <w:rFonts w:ascii="Source Sans Pro" w:hAnsi="Source Sans Pro"/>
                <w:sz w:val="18"/>
              </w:rPr>
              <w:t>9</w:t>
            </w:r>
          </w:p>
        </w:tc>
        <w:tc>
          <w:tcPr>
            <w:tcW w:type="dxa" w:w="1152"/>
            <w:shd w:fill="F0F5FA" w:val="clear"/>
          </w:tcPr>
          <w:p>
            <w:r/>
            <w:r>
              <w:rPr>
                <w:rFonts w:ascii="Source Sans Pro" w:hAnsi="Source Sans Pro"/>
                <w:sz w:val="18"/>
              </w:rPr>
              <w:t>15.5%</w:t>
            </w:r>
          </w:p>
        </w:tc>
      </w:tr>
      <w:tr>
        <w:tc>
          <w:tcPr>
            <w:tcW w:type="dxa" w:w="2880"/>
            <w:shd w:fill="FFFFFF" w:val="clear"/>
          </w:tcPr>
          <w:p>
            <w:r/>
            <w:r>
              <w:rPr>
                <w:rFonts w:ascii="Source Sans Pro" w:hAnsi="Source Sans Pro"/>
                <w:sz w:val="18"/>
              </w:rPr>
              <w:t>Utility Strike</w:t>
            </w:r>
          </w:p>
        </w:tc>
        <w:tc>
          <w:tcPr>
            <w:tcW w:type="dxa" w:w="1584"/>
            <w:shd w:fill="FFFFFF" w:val="clear"/>
          </w:tcPr>
          <w:p>
            <w:r/>
            <w:r>
              <w:rPr>
                <w:rFonts w:ascii="Source Sans Pro" w:hAnsi="Source Sans Pro"/>
                <w:sz w:val="18"/>
              </w:rPr>
              <w:t>5</w:t>
            </w:r>
          </w:p>
        </w:tc>
        <w:tc>
          <w:tcPr>
            <w:tcW w:type="dxa" w:w="1152"/>
            <w:shd w:fill="FFFFFF" w:val="clear"/>
          </w:tcPr>
          <w:p>
            <w:r/>
            <w:r>
              <w:rPr>
                <w:rFonts w:ascii="Source Sans Pro" w:hAnsi="Source Sans Pro"/>
                <w:sz w:val="18"/>
              </w:rPr>
              <w:t>7.7%</w:t>
            </w:r>
          </w:p>
        </w:tc>
        <w:tc>
          <w:tcPr>
            <w:tcW w:type="dxa" w:w="1440"/>
            <w:shd w:fill="FFFFFF" w:val="clear"/>
          </w:tcPr>
          <w:p>
            <w:r/>
            <w:r>
              <w:rPr>
                <w:rFonts w:ascii="Source Sans Pro" w:hAnsi="Source Sans Pro"/>
                <w:sz w:val="18"/>
              </w:rPr>
              <w:t>4</w:t>
            </w:r>
          </w:p>
        </w:tc>
        <w:tc>
          <w:tcPr>
            <w:tcW w:type="dxa" w:w="1152"/>
            <w:shd w:fill="FFFFFF" w:val="clear"/>
          </w:tcPr>
          <w:p>
            <w:r/>
            <w:r>
              <w:rPr>
                <w:rFonts w:ascii="Source Sans Pro" w:hAnsi="Source Sans Pro"/>
                <w:sz w:val="18"/>
              </w:rPr>
              <w:t>6.9%</w:t>
            </w:r>
          </w:p>
        </w:tc>
      </w:tr>
      <w:tr>
        <w:tc>
          <w:tcPr>
            <w:tcW w:type="dxa" w:w="2880"/>
            <w:shd w:fill="F0F5FA" w:val="clear"/>
          </w:tcPr>
          <w:p>
            <w:r/>
            <w:r>
              <w:rPr>
                <w:rFonts w:ascii="Source Sans Pro" w:hAnsi="Source Sans Pro"/>
                <w:sz w:val="18"/>
              </w:rPr>
              <w:t>Nonconformance</w:t>
            </w:r>
          </w:p>
        </w:tc>
        <w:tc>
          <w:tcPr>
            <w:tcW w:type="dxa" w:w="1584"/>
            <w:shd w:fill="F0F5FA" w:val="clear"/>
          </w:tcPr>
          <w:p>
            <w:r/>
            <w:r>
              <w:rPr>
                <w:rFonts w:ascii="Source Sans Pro" w:hAnsi="Source Sans Pro"/>
                <w:sz w:val="18"/>
              </w:rPr>
              <w:t>3</w:t>
            </w:r>
          </w:p>
        </w:tc>
        <w:tc>
          <w:tcPr>
            <w:tcW w:type="dxa" w:w="1152"/>
            <w:shd w:fill="F0F5FA" w:val="clear"/>
          </w:tcPr>
          <w:p>
            <w:r/>
            <w:r>
              <w:rPr>
                <w:rFonts w:ascii="Source Sans Pro" w:hAnsi="Source Sans Pro"/>
                <w:sz w:val="18"/>
              </w:rPr>
              <w:t>4.6%</w:t>
            </w:r>
          </w:p>
        </w:tc>
        <w:tc>
          <w:tcPr>
            <w:tcW w:type="dxa" w:w="1440"/>
            <w:shd w:fill="F0F5FA" w:val="clear"/>
          </w:tcPr>
          <w:p>
            <w:r/>
            <w:r>
              <w:rPr>
                <w:rFonts w:ascii="Source Sans Pro" w:hAnsi="Source Sans Pro"/>
                <w:sz w:val="18"/>
              </w:rPr>
              <w:t>2</w:t>
            </w:r>
          </w:p>
        </w:tc>
        <w:tc>
          <w:tcPr>
            <w:tcW w:type="dxa" w:w="1152"/>
            <w:shd w:fill="F0F5FA" w:val="clear"/>
          </w:tcPr>
          <w:p>
            <w:r/>
            <w:r>
              <w:rPr>
                <w:rFonts w:ascii="Source Sans Pro" w:hAnsi="Source Sans Pro"/>
                <w:sz w:val="18"/>
              </w:rPr>
              <w:t>3.4%</w:t>
            </w:r>
          </w:p>
        </w:tc>
      </w:tr>
      <w:tr>
        <w:tc>
          <w:tcPr>
            <w:tcW w:type="dxa" w:w="2880"/>
            <w:shd w:fill="FFFFFF" w:val="clear"/>
          </w:tcPr>
          <w:p>
            <w:r/>
            <w:r>
              <w:rPr>
                <w:rFonts w:ascii="Source Sans Pro" w:hAnsi="Source Sans Pro"/>
                <w:sz w:val="18"/>
              </w:rPr>
              <w:t>Environment</w:t>
            </w:r>
          </w:p>
        </w:tc>
        <w:tc>
          <w:tcPr>
            <w:tcW w:type="dxa" w:w="1584"/>
            <w:shd w:fill="FFFFFF" w:val="clear"/>
          </w:tcPr>
          <w:p>
            <w:r/>
            <w:r>
              <w:rPr>
                <w:rFonts w:ascii="Source Sans Pro" w:hAnsi="Source Sans Pro"/>
                <w:sz w:val="18"/>
              </w:rPr>
              <w:t>1</w:t>
            </w:r>
          </w:p>
        </w:tc>
        <w:tc>
          <w:tcPr>
            <w:tcW w:type="dxa" w:w="1152"/>
            <w:shd w:fill="FFFFFF" w:val="clear"/>
          </w:tcPr>
          <w:p>
            <w:r/>
            <w:r>
              <w:rPr>
                <w:rFonts w:ascii="Source Sans Pro" w:hAnsi="Source Sans Pro"/>
                <w:sz w:val="18"/>
              </w:rPr>
              <w:t>1.5%</w:t>
            </w:r>
          </w:p>
        </w:tc>
        <w:tc>
          <w:tcPr>
            <w:tcW w:type="dxa" w:w="1440"/>
            <w:shd w:fill="FFFFFF" w:val="clear"/>
          </w:tcPr>
          <w:p>
            <w:r/>
            <w:r>
              <w:rPr>
                <w:rFonts w:ascii="Source Sans Pro" w:hAnsi="Source Sans Pro"/>
                <w:sz w:val="18"/>
              </w:rPr>
              <w:t>4</w:t>
            </w:r>
          </w:p>
        </w:tc>
        <w:tc>
          <w:tcPr>
            <w:tcW w:type="dxa" w:w="1152"/>
            <w:shd w:fill="FFFFFF" w:val="clear"/>
          </w:tcPr>
          <w:p>
            <w:r/>
            <w:r>
              <w:rPr>
                <w:rFonts w:ascii="Source Sans Pro" w:hAnsi="Source Sans Pro"/>
                <w:sz w:val="18"/>
              </w:rPr>
              <w:t>6.9%</w:t>
            </w:r>
          </w:p>
        </w:tc>
      </w:tr>
      <w:tr>
        <w:tc>
          <w:tcPr>
            <w:tcW w:type="dxa" w:w="2880"/>
            <w:shd w:fill="F0F5FA" w:val="clear"/>
          </w:tcPr>
          <w:p>
            <w:r/>
            <w:r>
              <w:rPr>
                <w:rFonts w:ascii="Source Sans Pro" w:hAnsi="Source Sans Pro"/>
                <w:sz w:val="18"/>
              </w:rPr>
              <w:t>Security</w:t>
            </w:r>
          </w:p>
        </w:tc>
        <w:tc>
          <w:tcPr>
            <w:tcW w:type="dxa" w:w="1584"/>
            <w:shd w:fill="F0F5FA" w:val="clear"/>
          </w:tcPr>
          <w:p>
            <w:r/>
            <w:r>
              <w:rPr>
                <w:rFonts w:ascii="Source Sans Pro" w:hAnsi="Source Sans Pro"/>
                <w:sz w:val="18"/>
              </w:rPr>
              <w:t>1</w:t>
            </w:r>
          </w:p>
        </w:tc>
        <w:tc>
          <w:tcPr>
            <w:tcW w:type="dxa" w:w="1152"/>
            <w:shd w:fill="F0F5FA" w:val="clear"/>
          </w:tcPr>
          <w:p>
            <w:r/>
            <w:r>
              <w:rPr>
                <w:rFonts w:ascii="Source Sans Pro" w:hAnsi="Source Sans Pro"/>
                <w:sz w:val="18"/>
              </w:rPr>
              <w:t>1.5%</w:t>
            </w:r>
          </w:p>
        </w:tc>
        <w:tc>
          <w:tcPr>
            <w:tcW w:type="dxa" w:w="1440"/>
            <w:shd w:fill="F0F5FA" w:val="clear"/>
          </w:tcPr>
          <w:p>
            <w:r/>
            <w:r>
              <w:rPr>
                <w:rFonts w:ascii="Source Sans Pro" w:hAnsi="Source Sans Pro"/>
                <w:sz w:val="18"/>
              </w:rPr>
              <w:t>3</w:t>
            </w:r>
          </w:p>
        </w:tc>
        <w:tc>
          <w:tcPr>
            <w:tcW w:type="dxa" w:w="1152"/>
            <w:shd w:fill="F0F5FA" w:val="clear"/>
          </w:tcPr>
          <w:p>
            <w:r/>
            <w:r>
              <w:rPr>
                <w:rFonts w:ascii="Source Sans Pro" w:hAnsi="Source Sans Pro"/>
                <w:sz w:val="18"/>
              </w:rPr>
              <w:t>5.2%</w:t>
            </w:r>
          </w:p>
        </w:tc>
      </w:tr>
      <w:tr>
        <w:tc>
          <w:tcPr>
            <w:tcW w:type="dxa" w:w="2880"/>
            <w:shd w:fill="FFFFFF" w:val="clear"/>
          </w:tcPr>
          <w:p>
            <w:r/>
            <w:r>
              <w:rPr>
                <w:rFonts w:ascii="Source Sans Pro" w:hAnsi="Source Sans Pro"/>
                <w:sz w:val="18"/>
              </w:rPr>
              <w:t>Assault</w:t>
            </w:r>
          </w:p>
        </w:tc>
        <w:tc>
          <w:tcPr>
            <w:tcW w:type="dxa" w:w="1584"/>
            <w:shd w:fill="FFFFFF" w:val="clear"/>
          </w:tcPr>
          <w:p>
            <w:r/>
            <w:r>
              <w:rPr>
                <w:rFonts w:ascii="Source Sans Pro" w:hAnsi="Source Sans Pro"/>
                <w:sz w:val="18"/>
              </w:rPr>
              <w:t>0</w:t>
            </w:r>
          </w:p>
        </w:tc>
        <w:tc>
          <w:tcPr>
            <w:tcW w:type="dxa" w:w="1152"/>
            <w:shd w:fill="FFFFFF" w:val="clear"/>
          </w:tcPr>
          <w:p>
            <w:r/>
            <w:r>
              <w:rPr>
                <w:rFonts w:ascii="Source Sans Pro" w:hAnsi="Source Sans Pro"/>
                <w:sz w:val="18"/>
              </w:rPr>
              <w:t>0.0%</w:t>
            </w:r>
          </w:p>
        </w:tc>
        <w:tc>
          <w:tcPr>
            <w:tcW w:type="dxa" w:w="1440"/>
            <w:shd w:fill="FFFFFF" w:val="clear"/>
          </w:tcPr>
          <w:p>
            <w:r/>
            <w:r>
              <w:rPr>
                <w:rFonts w:ascii="Source Sans Pro" w:hAnsi="Source Sans Pro"/>
                <w:sz w:val="18"/>
              </w:rPr>
              <w:t>1</w:t>
            </w:r>
          </w:p>
        </w:tc>
        <w:tc>
          <w:tcPr>
            <w:tcW w:type="dxa" w:w="1152"/>
            <w:shd w:fill="FFFFFF" w:val="clear"/>
          </w:tcPr>
          <w:p>
            <w:r/>
            <w:r>
              <w:rPr>
                <w:rFonts w:ascii="Source Sans Pro" w:hAnsi="Source Sans Pro"/>
                <w:sz w:val="18"/>
              </w:rPr>
              <w:t>1.7%</w:t>
            </w:r>
          </w:p>
        </w:tc>
      </w:tr>
    </w:tbl>
    <w:p/>
    <w:p>
      <w:r>
        <w:rPr>
          <w:b/>
        </w:rPr>
        <w:t>Notable shifts:</w:t>
      </w:r>
    </w:p>
    <w:p>
      <w:pPr>
        <w:pStyle w:val="ListBullet"/>
      </w:pPr>
      <w:r>
        <w:t>Equipment/Property Damage decreased: 20.0% → 13.8% (13 → 8 events).</w:t>
      </w:r>
    </w:p>
    <w:p>
      <w:pPr>
        <w:pStyle w:val="ListBullet"/>
      </w:pPr>
      <w:r>
        <w:t>Close Call decreased: 20.0% → 6.9% (13 → 4 events).</w:t>
      </w:r>
    </w:p>
    <w:p>
      <w:pPr>
        <w:pStyle w:val="ListBullet"/>
      </w:pPr>
      <w:r>
        <w:t>Motor Vehicle increased: 7.7% → 15.5% (5 → 9 events).</w:t>
      </w:r>
    </w:p>
    <w:p>
      <w:pPr>
        <w:pStyle w:val="ListBullet"/>
      </w:pPr>
      <w:r>
        <w:t>Environment increased: 1.5% → 6.9% (1 → 4 events).</w:t>
      </w:r>
    </w:p>
    <w:p>
      <w:r>
        <w:br w:type="page"/>
      </w:r>
    </w:p>
    <w:p>
      <w:pPr>
        <w:pStyle w:val="Heading1"/>
      </w:pPr>
      <w:r>
        <w:t>4. Injury Analysis</w:t>
      </w:r>
    </w:p>
    <w:p>
      <w:pPr>
        <w:pStyle w:val="Heading2"/>
      </w:pPr>
      <w:r>
        <w:t>4.1 Injury Classification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3600"/>
            <w:shd w:fill="0b3254" w:val="clear"/>
          </w:tcPr>
          <w:p>
            <w:r/>
            <w:r>
              <w:rPr>
                <w:rFonts w:ascii="Source Sans Pro" w:hAnsi="Source Sans Pro"/>
                <w:b/>
                <w:color w:val="FFFFFF"/>
                <w:sz w:val="18"/>
              </w:rPr>
              <w:t>Classification</w:t>
            </w:r>
          </w:p>
        </w:tc>
        <w:tc>
          <w:tcPr>
            <w:tcW w:type="dxa" w:w="2592"/>
            <w:shd w:fill="0b3254" w:val="clear"/>
          </w:tcPr>
          <w:p>
            <w:r/>
            <w:r>
              <w:rPr>
                <w:rFonts w:ascii="Source Sans Pro" w:hAnsi="Source Sans Pro"/>
                <w:b/>
                <w:color w:val="FFFFFF"/>
                <w:sz w:val="18"/>
              </w:rPr>
              <w:t>Matthew Arthur</w:t>
            </w:r>
          </w:p>
        </w:tc>
        <w:tc>
          <w:tcPr>
            <w:tcW w:type="dxa" w:w="2592"/>
            <w:shd w:fill="0b3254" w:val="clear"/>
          </w:tcPr>
          <w:p>
            <w:r/>
            <w:r>
              <w:rPr>
                <w:rFonts w:ascii="Source Sans Pro" w:hAnsi="Source Sans Pro"/>
                <w:b/>
                <w:color w:val="FFFFFF"/>
                <w:sz w:val="18"/>
              </w:rPr>
              <w:t>Manga</w:t>
            </w:r>
          </w:p>
        </w:tc>
      </w:tr>
      <w:tr>
        <w:tc>
          <w:tcPr>
            <w:tcW w:type="dxa" w:w="3600"/>
            <w:shd w:fill="F0F5FA" w:val="clear"/>
          </w:tcPr>
          <w:p>
            <w:r/>
            <w:r>
              <w:rPr>
                <w:rFonts w:ascii="Source Sans Pro" w:hAnsi="Source Sans Pro"/>
                <w:sz w:val="18"/>
              </w:rPr>
              <w:t>First Aid Treatment</w:t>
            </w:r>
          </w:p>
        </w:tc>
        <w:tc>
          <w:tcPr>
            <w:tcW w:type="dxa" w:w="2592"/>
            <w:shd w:fill="F0F5FA" w:val="clear"/>
          </w:tcPr>
          <w:p>
            <w:r/>
            <w:r>
              <w:rPr>
                <w:rFonts w:ascii="Source Sans Pro" w:hAnsi="Source Sans Pro"/>
                <w:sz w:val="18"/>
              </w:rPr>
              <w:t>7</w:t>
            </w:r>
          </w:p>
        </w:tc>
        <w:tc>
          <w:tcPr>
            <w:tcW w:type="dxa" w:w="2592"/>
            <w:shd w:fill="F0F5FA" w:val="clear"/>
          </w:tcPr>
          <w:p>
            <w:r/>
            <w:r>
              <w:rPr>
                <w:rFonts w:ascii="Source Sans Pro" w:hAnsi="Source Sans Pro"/>
                <w:sz w:val="18"/>
              </w:rPr>
              <w:t>2</w:t>
            </w:r>
          </w:p>
        </w:tc>
      </w:tr>
      <w:tr>
        <w:tc>
          <w:tcPr>
            <w:tcW w:type="dxa" w:w="3600"/>
            <w:shd w:fill="FFFFFF" w:val="clear"/>
          </w:tcPr>
          <w:p>
            <w:r/>
            <w:r>
              <w:rPr>
                <w:rFonts w:ascii="Source Sans Pro" w:hAnsi="Source Sans Pro"/>
                <w:sz w:val="18"/>
              </w:rPr>
              <w:t>Report Only</w:t>
            </w:r>
          </w:p>
        </w:tc>
        <w:tc>
          <w:tcPr>
            <w:tcW w:type="dxa" w:w="2592"/>
            <w:shd w:fill="FFFFFF" w:val="clear"/>
          </w:tcPr>
          <w:p>
            <w:r/>
            <w:r>
              <w:rPr>
                <w:rFonts w:ascii="Source Sans Pro" w:hAnsi="Source Sans Pro"/>
                <w:sz w:val="18"/>
              </w:rPr>
              <w:t>1</w:t>
            </w:r>
          </w:p>
        </w:tc>
        <w:tc>
          <w:tcPr>
            <w:tcW w:type="dxa" w:w="2592"/>
            <w:shd w:fill="FFFFFF" w:val="clear"/>
          </w:tcPr>
          <w:p>
            <w:r/>
            <w:r>
              <w:rPr>
                <w:rFonts w:ascii="Source Sans Pro" w:hAnsi="Source Sans Pro"/>
                <w:sz w:val="18"/>
              </w:rPr>
              <w:t>5</w:t>
            </w:r>
          </w:p>
        </w:tc>
      </w:tr>
      <w:tr>
        <w:tc>
          <w:tcPr>
            <w:tcW w:type="dxa" w:w="3600"/>
            <w:shd w:fill="F0F5FA" w:val="clear"/>
          </w:tcPr>
          <w:p>
            <w:r/>
            <w:r>
              <w:rPr>
                <w:rFonts w:ascii="Source Sans Pro" w:hAnsi="Source Sans Pro"/>
                <w:sz w:val="18"/>
              </w:rPr>
              <w:t>Non-Work Related</w:t>
            </w:r>
          </w:p>
        </w:tc>
        <w:tc>
          <w:tcPr>
            <w:tcW w:type="dxa" w:w="2592"/>
            <w:shd w:fill="F0F5FA" w:val="clear"/>
          </w:tcPr>
          <w:p>
            <w:r/>
            <w:r>
              <w:rPr>
                <w:rFonts w:ascii="Source Sans Pro" w:hAnsi="Source Sans Pro"/>
                <w:sz w:val="18"/>
              </w:rPr>
              <w:t>1</w:t>
            </w:r>
          </w:p>
        </w:tc>
        <w:tc>
          <w:tcPr>
            <w:tcW w:type="dxa" w:w="2592"/>
            <w:shd w:fill="F0F5FA" w:val="clear"/>
          </w:tcPr>
          <w:p>
            <w:r/>
            <w:r>
              <w:rPr>
                <w:rFonts w:ascii="Source Sans Pro" w:hAnsi="Source Sans Pro"/>
                <w:sz w:val="18"/>
              </w:rPr>
              <w:t>3</w:t>
            </w:r>
          </w:p>
        </w:tc>
      </w:tr>
      <w:tr>
        <w:tc>
          <w:tcPr>
            <w:tcW w:type="dxa" w:w="3600"/>
            <w:shd w:fill="FFFFFF" w:val="clear"/>
          </w:tcPr>
          <w:p>
            <w:r/>
            <w:r>
              <w:rPr>
                <w:rFonts w:ascii="Source Sans Pro" w:hAnsi="Source Sans Pro"/>
                <w:sz w:val="18"/>
              </w:rPr>
              <w:t>Lost Time Injury</w:t>
            </w:r>
          </w:p>
        </w:tc>
        <w:tc>
          <w:tcPr>
            <w:tcW w:type="dxa" w:w="2592"/>
            <w:shd w:fill="FFFFFF" w:val="clear"/>
          </w:tcPr>
          <w:p>
            <w:r/>
            <w:r>
              <w:rPr>
                <w:rFonts w:ascii="Source Sans Pro" w:hAnsi="Source Sans Pro"/>
                <w:sz w:val="18"/>
              </w:rPr>
              <w:t>0</w:t>
            </w:r>
          </w:p>
        </w:tc>
        <w:tc>
          <w:tcPr>
            <w:tcW w:type="dxa" w:w="2592"/>
            <w:shd w:fill="FFFFFF" w:val="clear"/>
          </w:tcPr>
          <w:p>
            <w:r/>
            <w:r>
              <w:rPr>
                <w:rFonts w:ascii="Source Sans Pro" w:hAnsi="Source Sans Pro"/>
                <w:sz w:val="18"/>
              </w:rPr>
              <w:t>2</w:t>
            </w:r>
          </w:p>
        </w:tc>
      </w:tr>
      <w:tr>
        <w:tc>
          <w:tcPr>
            <w:tcW w:type="dxa" w:w="3600"/>
            <w:shd w:fill="F0F5FA" w:val="clear"/>
          </w:tcPr>
          <w:p>
            <w:r/>
            <w:r>
              <w:rPr>
                <w:rFonts w:ascii="Source Sans Pro" w:hAnsi="Source Sans Pro"/>
                <w:sz w:val="18"/>
              </w:rPr>
              <w:t>Medical Treatment Injury</w:t>
            </w:r>
          </w:p>
        </w:tc>
        <w:tc>
          <w:tcPr>
            <w:tcW w:type="dxa" w:w="2592"/>
            <w:shd w:fill="F0F5FA" w:val="clear"/>
          </w:tcPr>
          <w:p>
            <w:r/>
            <w:r>
              <w:rPr>
                <w:rFonts w:ascii="Source Sans Pro" w:hAnsi="Source Sans Pro"/>
                <w:sz w:val="18"/>
              </w:rPr>
              <w:t>1</w:t>
            </w:r>
          </w:p>
        </w:tc>
        <w:tc>
          <w:tcPr>
            <w:tcW w:type="dxa" w:w="2592"/>
            <w:shd w:fill="F0F5FA" w:val="clear"/>
          </w:tcPr>
          <w:p>
            <w:r/>
            <w:r>
              <w:rPr>
                <w:rFonts w:ascii="Source Sans Pro" w:hAnsi="Source Sans Pro"/>
                <w:sz w:val="18"/>
              </w:rPr>
              <w:t>0</w:t>
            </w:r>
          </w:p>
        </w:tc>
      </w:tr>
    </w:tbl>
    <w:p>
      <w:pPr>
        <w:pStyle w:val="Heading2"/>
      </w:pPr>
      <w:r>
        <w:t>4.2 Body Parts Injured</w:t>
      </w:r>
    </w:p>
    <w:p>
      <w:r>
        <w:drawing>
          <wp:inline xmlns:a="http://schemas.openxmlformats.org/drawingml/2006/main" xmlns:pic="http://schemas.openxmlformats.org/drawingml/2006/picture">
            <wp:extent cx="4572000" cy="2257063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body_parts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257063"/>
                    </a:xfrm>
                    <a:prstGeom prst="rect"/>
                  </pic:spPr>
                </pic:pic>
              </a:graphicData>
            </a:graphic>
          </wp:inline>
        </w:drawing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3600"/>
            <w:shd w:fill="0b3254" w:val="clear"/>
          </w:tcPr>
          <w:p>
            <w:r/>
            <w:r>
              <w:rPr>
                <w:rFonts w:ascii="Source Sans Pro" w:hAnsi="Source Sans Pro"/>
                <w:b/>
                <w:color w:val="FFFFFF"/>
                <w:sz w:val="18"/>
              </w:rPr>
              <w:t>Body Part</w:t>
            </w:r>
          </w:p>
        </w:tc>
        <w:tc>
          <w:tcPr>
            <w:tcW w:type="dxa" w:w="2592"/>
            <w:shd w:fill="0b3254" w:val="clear"/>
          </w:tcPr>
          <w:p>
            <w:r/>
            <w:r>
              <w:rPr>
                <w:rFonts w:ascii="Source Sans Pro" w:hAnsi="Source Sans Pro"/>
                <w:b/>
                <w:color w:val="FFFFFF"/>
                <w:sz w:val="18"/>
              </w:rPr>
              <w:t>Matthew Arthur</w:t>
            </w:r>
          </w:p>
        </w:tc>
        <w:tc>
          <w:tcPr>
            <w:tcW w:type="dxa" w:w="2592"/>
            <w:shd w:fill="0b3254" w:val="clear"/>
          </w:tcPr>
          <w:p>
            <w:r/>
            <w:r>
              <w:rPr>
                <w:rFonts w:ascii="Source Sans Pro" w:hAnsi="Source Sans Pro"/>
                <w:b/>
                <w:color w:val="FFFFFF"/>
                <w:sz w:val="18"/>
              </w:rPr>
              <w:t>Manga</w:t>
            </w:r>
          </w:p>
        </w:tc>
      </w:tr>
      <w:tr>
        <w:tc>
          <w:tcPr>
            <w:tcW w:type="dxa" w:w="3600"/>
            <w:shd w:fill="F0F5FA" w:val="clear"/>
          </w:tcPr>
          <w:p>
            <w:r/>
            <w:r>
              <w:rPr>
                <w:rFonts w:ascii="Source Sans Pro" w:hAnsi="Source Sans Pro"/>
                <w:sz w:val="18"/>
              </w:rPr>
              <w:t>Lower back</w:t>
            </w:r>
          </w:p>
        </w:tc>
        <w:tc>
          <w:tcPr>
            <w:tcW w:type="dxa" w:w="2592"/>
            <w:shd w:fill="F0F5FA" w:val="clear"/>
          </w:tcPr>
          <w:p>
            <w:r/>
            <w:r>
              <w:rPr>
                <w:rFonts w:ascii="Source Sans Pro" w:hAnsi="Source Sans Pro"/>
                <w:sz w:val="18"/>
              </w:rPr>
              <w:t>3</w:t>
            </w:r>
          </w:p>
        </w:tc>
        <w:tc>
          <w:tcPr>
            <w:tcW w:type="dxa" w:w="2592"/>
            <w:shd w:fill="F0F5FA" w:val="clear"/>
          </w:tcPr>
          <w:p>
            <w:r/>
            <w:r>
              <w:rPr>
                <w:rFonts w:ascii="Source Sans Pro" w:hAnsi="Source Sans Pro"/>
                <w:sz w:val="18"/>
              </w:rPr>
              <w:t>2</w:t>
            </w:r>
          </w:p>
        </w:tc>
      </w:tr>
      <w:tr>
        <w:tc>
          <w:tcPr>
            <w:tcW w:type="dxa" w:w="3600"/>
            <w:shd w:fill="FFFFFF" w:val="clear"/>
          </w:tcPr>
          <w:p>
            <w:r/>
            <w:r>
              <w:rPr>
                <w:rFonts w:ascii="Source Sans Pro" w:hAnsi="Source Sans Pro"/>
                <w:sz w:val="18"/>
              </w:rPr>
              <w:t>Eye</w:t>
            </w:r>
          </w:p>
        </w:tc>
        <w:tc>
          <w:tcPr>
            <w:tcW w:type="dxa" w:w="2592"/>
            <w:shd w:fill="FFFFFF" w:val="clear"/>
          </w:tcPr>
          <w:p>
            <w:r/>
            <w:r>
              <w:rPr>
                <w:rFonts w:ascii="Source Sans Pro" w:hAnsi="Source Sans Pro"/>
                <w:sz w:val="18"/>
              </w:rPr>
              <w:t>2</w:t>
            </w:r>
          </w:p>
        </w:tc>
        <w:tc>
          <w:tcPr>
            <w:tcW w:type="dxa" w:w="2592"/>
            <w:shd w:fill="FFFFFF" w:val="clear"/>
          </w:tcPr>
          <w:p>
            <w:r/>
            <w:r>
              <w:rPr>
                <w:rFonts w:ascii="Source Sans Pro" w:hAnsi="Source Sans Pro"/>
                <w:sz w:val="18"/>
              </w:rPr>
              <w:t>1</w:t>
            </w:r>
          </w:p>
        </w:tc>
      </w:tr>
      <w:tr>
        <w:tc>
          <w:tcPr>
            <w:tcW w:type="dxa" w:w="3600"/>
            <w:shd w:fill="F0F5FA" w:val="clear"/>
          </w:tcPr>
          <w:p>
            <w:r/>
            <w:r>
              <w:rPr>
                <w:rFonts w:ascii="Source Sans Pro" w:hAnsi="Source Sans Pro"/>
                <w:sz w:val="18"/>
              </w:rPr>
              <w:t>Upper Leg</w:t>
            </w:r>
          </w:p>
        </w:tc>
        <w:tc>
          <w:tcPr>
            <w:tcW w:type="dxa" w:w="2592"/>
            <w:shd w:fill="F0F5FA" w:val="clear"/>
          </w:tcPr>
          <w:p>
            <w:r/>
            <w:r>
              <w:rPr>
                <w:rFonts w:ascii="Source Sans Pro" w:hAnsi="Source Sans Pro"/>
                <w:sz w:val="18"/>
              </w:rPr>
              <w:t>2</w:t>
            </w:r>
          </w:p>
        </w:tc>
        <w:tc>
          <w:tcPr>
            <w:tcW w:type="dxa" w:w="2592"/>
            <w:shd w:fill="F0F5FA" w:val="clear"/>
          </w:tcPr>
          <w:p>
            <w:r/>
            <w:r>
              <w:rPr>
                <w:rFonts w:ascii="Source Sans Pro" w:hAnsi="Source Sans Pro"/>
                <w:sz w:val="18"/>
              </w:rPr>
              <w:t>0</w:t>
            </w:r>
          </w:p>
        </w:tc>
      </w:tr>
      <w:tr>
        <w:tc>
          <w:tcPr>
            <w:tcW w:type="dxa" w:w="3600"/>
            <w:shd w:fill="FFFFFF" w:val="clear"/>
          </w:tcPr>
          <w:p>
            <w:r/>
            <w:r>
              <w:rPr>
                <w:rFonts w:ascii="Source Sans Pro" w:hAnsi="Source Sans Pro"/>
                <w:sz w:val="18"/>
              </w:rPr>
              <w:t>Hand</w:t>
            </w:r>
          </w:p>
        </w:tc>
        <w:tc>
          <w:tcPr>
            <w:tcW w:type="dxa" w:w="2592"/>
            <w:shd w:fill="FFFFFF" w:val="clear"/>
          </w:tcPr>
          <w:p>
            <w:r/>
            <w:r>
              <w:rPr>
                <w:rFonts w:ascii="Source Sans Pro" w:hAnsi="Source Sans Pro"/>
                <w:sz w:val="18"/>
              </w:rPr>
              <w:t>2</w:t>
            </w:r>
          </w:p>
        </w:tc>
        <w:tc>
          <w:tcPr>
            <w:tcW w:type="dxa" w:w="2592"/>
            <w:shd w:fill="FFFFFF" w:val="clear"/>
          </w:tcPr>
          <w:p>
            <w:r/>
            <w:r>
              <w:rPr>
                <w:rFonts w:ascii="Source Sans Pro" w:hAnsi="Source Sans Pro"/>
                <w:sz w:val="18"/>
              </w:rPr>
              <w:t>0</w:t>
            </w:r>
          </w:p>
        </w:tc>
      </w:tr>
      <w:tr>
        <w:tc>
          <w:tcPr>
            <w:tcW w:type="dxa" w:w="3600"/>
            <w:shd w:fill="F0F5FA" w:val="clear"/>
          </w:tcPr>
          <w:p>
            <w:r/>
            <w:r>
              <w:rPr>
                <w:rFonts w:ascii="Source Sans Pro" w:hAnsi="Source Sans Pro"/>
                <w:sz w:val="18"/>
              </w:rPr>
              <w:t>Eye - other or multiple</w:t>
            </w:r>
          </w:p>
        </w:tc>
        <w:tc>
          <w:tcPr>
            <w:tcW w:type="dxa" w:w="2592"/>
            <w:shd w:fill="F0F5FA" w:val="clear"/>
          </w:tcPr>
          <w:p>
            <w:r/>
            <w:r>
              <w:rPr>
                <w:rFonts w:ascii="Source Sans Pro" w:hAnsi="Source Sans Pro"/>
                <w:sz w:val="18"/>
              </w:rPr>
              <w:t>1</w:t>
            </w:r>
          </w:p>
        </w:tc>
        <w:tc>
          <w:tcPr>
            <w:tcW w:type="dxa" w:w="2592"/>
            <w:shd w:fill="F0F5FA" w:val="clear"/>
          </w:tcPr>
          <w:p>
            <w:r/>
            <w:r>
              <w:rPr>
                <w:rFonts w:ascii="Source Sans Pro" w:hAnsi="Source Sans Pro"/>
                <w:sz w:val="18"/>
              </w:rPr>
              <w:t>1</w:t>
            </w:r>
          </w:p>
        </w:tc>
      </w:tr>
      <w:tr>
        <w:tc>
          <w:tcPr>
            <w:tcW w:type="dxa" w:w="3600"/>
            <w:shd w:fill="FFFFFF" w:val="clear"/>
          </w:tcPr>
          <w:p>
            <w:r/>
            <w:r>
              <w:rPr>
                <w:rFonts w:ascii="Source Sans Pro" w:hAnsi="Source Sans Pro"/>
                <w:sz w:val="18"/>
              </w:rPr>
              <w:t>Eyeball</w:t>
            </w:r>
          </w:p>
        </w:tc>
        <w:tc>
          <w:tcPr>
            <w:tcW w:type="dxa" w:w="2592"/>
            <w:shd w:fill="FFFFFF" w:val="clear"/>
          </w:tcPr>
          <w:p>
            <w:r/>
            <w:r>
              <w:rPr>
                <w:rFonts w:ascii="Source Sans Pro" w:hAnsi="Source Sans Pro"/>
                <w:sz w:val="18"/>
              </w:rPr>
              <w:t>1</w:t>
            </w:r>
          </w:p>
        </w:tc>
        <w:tc>
          <w:tcPr>
            <w:tcW w:type="dxa" w:w="2592"/>
            <w:shd w:fill="FFFFFF" w:val="clear"/>
          </w:tcPr>
          <w:p>
            <w:r/>
            <w:r>
              <w:rPr>
                <w:rFonts w:ascii="Source Sans Pro" w:hAnsi="Source Sans Pro"/>
                <w:sz w:val="18"/>
              </w:rPr>
              <w:t>0</w:t>
            </w:r>
          </w:p>
        </w:tc>
      </w:tr>
      <w:tr>
        <w:tc>
          <w:tcPr>
            <w:tcW w:type="dxa" w:w="3600"/>
            <w:shd w:fill="F0F5FA" w:val="clear"/>
          </w:tcPr>
          <w:p>
            <w:r/>
            <w:r>
              <w:rPr>
                <w:rFonts w:ascii="Source Sans Pro" w:hAnsi="Source Sans Pro"/>
                <w:sz w:val="18"/>
              </w:rPr>
              <w:t>Knee</w:t>
            </w:r>
          </w:p>
        </w:tc>
        <w:tc>
          <w:tcPr>
            <w:tcW w:type="dxa" w:w="2592"/>
            <w:shd w:fill="F0F5FA" w:val="clear"/>
          </w:tcPr>
          <w:p>
            <w:r/>
            <w:r>
              <w:rPr>
                <w:rFonts w:ascii="Source Sans Pro" w:hAnsi="Source Sans Pro"/>
                <w:sz w:val="18"/>
              </w:rPr>
              <w:t>0</w:t>
            </w:r>
          </w:p>
        </w:tc>
        <w:tc>
          <w:tcPr>
            <w:tcW w:type="dxa" w:w="2592"/>
            <w:shd w:fill="F0F5FA" w:val="clear"/>
          </w:tcPr>
          <w:p>
            <w:r/>
            <w:r>
              <w:rPr>
                <w:rFonts w:ascii="Source Sans Pro" w:hAnsi="Source Sans Pro"/>
                <w:sz w:val="18"/>
              </w:rPr>
              <w:t>4</w:t>
            </w:r>
          </w:p>
        </w:tc>
      </w:tr>
      <w:tr>
        <w:tc>
          <w:tcPr>
            <w:tcW w:type="dxa" w:w="3600"/>
            <w:shd w:fill="FFFFFF" w:val="clear"/>
          </w:tcPr>
          <w:p>
            <w:r/>
            <w:r>
              <w:rPr>
                <w:rFonts w:ascii="Source Sans Pro" w:hAnsi="Source Sans Pro"/>
                <w:sz w:val="18"/>
              </w:rPr>
              <w:t>Face</w:t>
            </w:r>
          </w:p>
        </w:tc>
        <w:tc>
          <w:tcPr>
            <w:tcW w:type="dxa" w:w="2592"/>
            <w:shd w:fill="FFFFFF" w:val="clear"/>
          </w:tcPr>
          <w:p>
            <w:r/>
            <w:r>
              <w:rPr>
                <w:rFonts w:ascii="Source Sans Pro" w:hAnsi="Source Sans Pro"/>
                <w:sz w:val="18"/>
              </w:rPr>
              <w:t>0</w:t>
            </w:r>
          </w:p>
        </w:tc>
        <w:tc>
          <w:tcPr>
            <w:tcW w:type="dxa" w:w="2592"/>
            <w:shd w:fill="FFFFFF" w:val="clear"/>
          </w:tcPr>
          <w:p>
            <w:r/>
            <w:r>
              <w:rPr>
                <w:rFonts w:ascii="Source Sans Pro" w:hAnsi="Source Sans Pro"/>
                <w:sz w:val="18"/>
              </w:rPr>
              <w:t>2</w:t>
            </w:r>
          </w:p>
        </w:tc>
      </w:tr>
    </w:tbl>
    <w:p>
      <w:r>
        <w:br w:type="page"/>
      </w:r>
    </w:p>
    <w:p>
      <w:pPr>
        <w:pStyle w:val="Heading1"/>
      </w:pPr>
      <w:r>
        <w:t>5. Consequence Analysis</w:t>
      </w:r>
    </w:p>
    <w:p>
      <w:r>
        <w:drawing>
          <wp:inline xmlns:a="http://schemas.openxmlformats.org/drawingml/2006/main" xmlns:pic="http://schemas.openxmlformats.org/drawingml/2006/picture">
            <wp:extent cx="5029200" cy="2312002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onsequence_by_pd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2312002"/>
                    </a:xfrm>
                    <a:prstGeom prst="rect"/>
                  </pic:spPr>
                </pic:pic>
              </a:graphicData>
            </a:graphic>
          </wp:inline>
        </w:drawing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2160"/>
            <w:shd w:fill="0b3254" w:val="clear"/>
          </w:tcPr>
          <w:p>
            <w:r/>
            <w:r>
              <w:rPr>
                <w:rFonts w:ascii="Source Sans Pro" w:hAnsi="Source Sans Pro"/>
                <w:b/>
                <w:color w:val="FFFFFF"/>
                <w:sz w:val="18"/>
              </w:rPr>
              <w:t>Consequence</w:t>
            </w:r>
          </w:p>
        </w:tc>
        <w:tc>
          <w:tcPr>
            <w:tcW w:type="dxa" w:w="1440"/>
            <w:shd w:fill="0b3254" w:val="clear"/>
          </w:tcPr>
          <w:p>
            <w:r/>
            <w:r>
              <w:rPr>
                <w:rFonts w:ascii="Source Sans Pro" w:hAnsi="Source Sans Pro"/>
                <w:b/>
                <w:color w:val="FFFFFF"/>
                <w:sz w:val="18"/>
              </w:rPr>
              <w:t>Matthew Arthur</w:t>
            </w:r>
          </w:p>
        </w:tc>
        <w:tc>
          <w:tcPr>
            <w:tcW w:type="dxa" w:w="1152"/>
            <w:shd w:fill="0b3254" w:val="clear"/>
          </w:tcPr>
          <w:p>
            <w:r/>
            <w:r>
              <w:rPr>
                <w:rFonts w:ascii="Source Sans Pro" w:hAnsi="Source Sans Pro"/>
                <w:b/>
                <w:color w:val="FFFFFF"/>
                <w:sz w:val="18"/>
              </w:rPr>
              <w:t>%</w:t>
            </w:r>
          </w:p>
        </w:tc>
        <w:tc>
          <w:tcPr>
            <w:tcW w:type="dxa" w:w="1440"/>
            <w:shd w:fill="0b3254" w:val="clear"/>
          </w:tcPr>
          <w:p>
            <w:r/>
            <w:r>
              <w:rPr>
                <w:rFonts w:ascii="Source Sans Pro" w:hAnsi="Source Sans Pro"/>
                <w:b/>
                <w:color w:val="FFFFFF"/>
                <w:sz w:val="18"/>
              </w:rPr>
              <w:t>Manga</w:t>
            </w:r>
          </w:p>
        </w:tc>
        <w:tc>
          <w:tcPr>
            <w:tcW w:type="dxa" w:w="1152"/>
            <w:shd w:fill="0b3254" w:val="clear"/>
          </w:tcPr>
          <w:p>
            <w:r/>
            <w:r>
              <w:rPr>
                <w:rFonts w:ascii="Source Sans Pro" w:hAnsi="Source Sans Pro"/>
                <w:b/>
                <w:color w:val="FFFFFF"/>
                <w:sz w:val="18"/>
              </w:rPr>
              <w:t>%</w:t>
            </w:r>
          </w:p>
        </w:tc>
      </w:tr>
      <w:tr>
        <w:tc>
          <w:tcPr>
            <w:tcW w:type="dxa" w:w="2160"/>
            <w:shd w:fill="F0F5FA" w:val="clear"/>
          </w:tcPr>
          <w:p>
            <w:r/>
            <w:r>
              <w:rPr>
                <w:rFonts w:ascii="Source Sans Pro" w:hAnsi="Source Sans Pro"/>
                <w:sz w:val="18"/>
              </w:rPr>
              <w:t>Negligible</w:t>
            </w:r>
          </w:p>
        </w:tc>
        <w:tc>
          <w:tcPr>
            <w:tcW w:type="dxa" w:w="1440"/>
            <w:shd w:fill="F0F5FA" w:val="clear"/>
          </w:tcPr>
          <w:p>
            <w:r/>
            <w:r>
              <w:rPr>
                <w:rFonts w:ascii="Source Sans Pro" w:hAnsi="Source Sans Pro"/>
                <w:sz w:val="18"/>
              </w:rPr>
              <w:t>48</w:t>
            </w:r>
          </w:p>
        </w:tc>
        <w:tc>
          <w:tcPr>
            <w:tcW w:type="dxa" w:w="1152"/>
            <w:shd w:fill="F0F5FA" w:val="clear"/>
          </w:tcPr>
          <w:p>
            <w:r/>
            <w:r>
              <w:rPr>
                <w:rFonts w:ascii="Source Sans Pro" w:hAnsi="Source Sans Pro"/>
                <w:sz w:val="18"/>
              </w:rPr>
              <w:t>73.8%</w:t>
            </w:r>
          </w:p>
        </w:tc>
        <w:tc>
          <w:tcPr>
            <w:tcW w:type="dxa" w:w="1440"/>
            <w:shd w:fill="F0F5FA" w:val="clear"/>
          </w:tcPr>
          <w:p>
            <w:r/>
            <w:r>
              <w:rPr>
                <w:rFonts w:ascii="Source Sans Pro" w:hAnsi="Source Sans Pro"/>
                <w:sz w:val="18"/>
              </w:rPr>
              <w:t>34</w:t>
            </w:r>
          </w:p>
        </w:tc>
        <w:tc>
          <w:tcPr>
            <w:tcW w:type="dxa" w:w="1152"/>
            <w:shd w:fill="F0F5FA" w:val="clear"/>
          </w:tcPr>
          <w:p>
            <w:r/>
            <w:r>
              <w:rPr>
                <w:rFonts w:ascii="Source Sans Pro" w:hAnsi="Source Sans Pro"/>
                <w:sz w:val="18"/>
              </w:rPr>
              <w:t>58.6%</w:t>
            </w:r>
          </w:p>
        </w:tc>
      </w:tr>
      <w:tr>
        <w:tc>
          <w:tcPr>
            <w:tcW w:type="dxa" w:w="2160"/>
            <w:shd w:fill="FFFFFF" w:val="clear"/>
          </w:tcPr>
          <w:p>
            <w:r/>
            <w:r>
              <w:rPr>
                <w:rFonts w:ascii="Source Sans Pro" w:hAnsi="Source Sans Pro"/>
                <w:sz w:val="18"/>
              </w:rPr>
              <w:t>Minor</w:t>
            </w:r>
          </w:p>
        </w:tc>
        <w:tc>
          <w:tcPr>
            <w:tcW w:type="dxa" w:w="1440"/>
            <w:shd w:fill="FFFFFF" w:val="clear"/>
          </w:tcPr>
          <w:p>
            <w:r/>
            <w:r>
              <w:rPr>
                <w:rFonts w:ascii="Source Sans Pro" w:hAnsi="Source Sans Pro"/>
                <w:sz w:val="18"/>
              </w:rPr>
              <w:t>15</w:t>
            </w:r>
          </w:p>
        </w:tc>
        <w:tc>
          <w:tcPr>
            <w:tcW w:type="dxa" w:w="1152"/>
            <w:shd w:fill="FFFFFF" w:val="clear"/>
          </w:tcPr>
          <w:p>
            <w:r/>
            <w:r>
              <w:rPr>
                <w:rFonts w:ascii="Source Sans Pro" w:hAnsi="Source Sans Pro"/>
                <w:sz w:val="18"/>
              </w:rPr>
              <w:t>23.1%</w:t>
            </w:r>
          </w:p>
        </w:tc>
        <w:tc>
          <w:tcPr>
            <w:tcW w:type="dxa" w:w="1440"/>
            <w:shd w:fill="FFFFFF" w:val="clear"/>
          </w:tcPr>
          <w:p>
            <w:r/>
            <w:r>
              <w:rPr>
                <w:rFonts w:ascii="Source Sans Pro" w:hAnsi="Source Sans Pro"/>
                <w:sz w:val="18"/>
              </w:rPr>
              <w:t>13</w:t>
            </w:r>
          </w:p>
        </w:tc>
        <w:tc>
          <w:tcPr>
            <w:tcW w:type="dxa" w:w="1152"/>
            <w:shd w:fill="FFFFFF" w:val="clear"/>
          </w:tcPr>
          <w:p>
            <w:r/>
            <w:r>
              <w:rPr>
                <w:rFonts w:ascii="Source Sans Pro" w:hAnsi="Source Sans Pro"/>
                <w:sz w:val="18"/>
              </w:rPr>
              <w:t>22.4%</w:t>
            </w:r>
          </w:p>
        </w:tc>
      </w:tr>
      <w:tr>
        <w:tc>
          <w:tcPr>
            <w:tcW w:type="dxa" w:w="2160"/>
            <w:shd w:fill="F0F5FA" w:val="clear"/>
          </w:tcPr>
          <w:p>
            <w:r/>
            <w:r>
              <w:rPr>
                <w:rFonts w:ascii="Source Sans Pro" w:hAnsi="Source Sans Pro"/>
                <w:sz w:val="18"/>
              </w:rPr>
              <w:t>Moderate</w:t>
            </w:r>
          </w:p>
        </w:tc>
        <w:tc>
          <w:tcPr>
            <w:tcW w:type="dxa" w:w="1440"/>
            <w:shd w:fill="F0F5FA" w:val="clear"/>
          </w:tcPr>
          <w:p>
            <w:r/>
            <w:r>
              <w:rPr>
                <w:rFonts w:ascii="Source Sans Pro" w:hAnsi="Source Sans Pro"/>
                <w:sz w:val="18"/>
              </w:rPr>
              <w:t>2</w:t>
            </w:r>
          </w:p>
        </w:tc>
        <w:tc>
          <w:tcPr>
            <w:tcW w:type="dxa" w:w="1152"/>
            <w:shd w:fill="F0F5FA" w:val="clear"/>
          </w:tcPr>
          <w:p>
            <w:r/>
            <w:r>
              <w:rPr>
                <w:rFonts w:ascii="Source Sans Pro" w:hAnsi="Source Sans Pro"/>
                <w:sz w:val="18"/>
              </w:rPr>
              <w:t>3.1%</w:t>
            </w:r>
          </w:p>
        </w:tc>
        <w:tc>
          <w:tcPr>
            <w:tcW w:type="dxa" w:w="1440"/>
            <w:shd w:fill="F0F5FA" w:val="clear"/>
          </w:tcPr>
          <w:p>
            <w:r/>
            <w:r>
              <w:rPr>
                <w:rFonts w:ascii="Source Sans Pro" w:hAnsi="Source Sans Pro"/>
                <w:sz w:val="18"/>
              </w:rPr>
              <w:t>11</w:t>
            </w:r>
          </w:p>
        </w:tc>
        <w:tc>
          <w:tcPr>
            <w:tcW w:type="dxa" w:w="1152"/>
            <w:shd w:fill="F0F5FA" w:val="clear"/>
          </w:tcPr>
          <w:p>
            <w:r/>
            <w:r>
              <w:rPr>
                <w:rFonts w:ascii="Source Sans Pro" w:hAnsi="Source Sans Pro"/>
                <w:sz w:val="18"/>
              </w:rPr>
              <w:t>19.0%</w:t>
            </w:r>
          </w:p>
        </w:tc>
      </w:tr>
      <w:tr>
        <w:tc>
          <w:tcPr>
            <w:tcW w:type="dxa" w:w="2160"/>
            <w:shd w:fill="FFFFFF" w:val="clear"/>
          </w:tcPr>
          <w:p>
            <w:r/>
            <w:r>
              <w:rPr>
                <w:rFonts w:ascii="Source Sans Pro" w:hAnsi="Source Sans Pro"/>
                <w:sz w:val="18"/>
              </w:rPr>
              <w:t>Major</w:t>
            </w:r>
          </w:p>
        </w:tc>
        <w:tc>
          <w:tcPr>
            <w:tcW w:type="dxa" w:w="1440"/>
            <w:shd w:fill="FFFFFF" w:val="clear"/>
          </w:tcPr>
          <w:p>
            <w:r/>
            <w:r>
              <w:rPr>
                <w:rFonts w:ascii="Source Sans Pro" w:hAnsi="Source Sans Pro"/>
                <w:sz w:val="18"/>
              </w:rPr>
              <w:t>0</w:t>
            </w:r>
          </w:p>
        </w:tc>
        <w:tc>
          <w:tcPr>
            <w:tcW w:type="dxa" w:w="1152"/>
            <w:shd w:fill="FFFFFF" w:val="clear"/>
          </w:tcPr>
          <w:p>
            <w:r/>
            <w:r>
              <w:rPr>
                <w:rFonts w:ascii="Source Sans Pro" w:hAnsi="Source Sans Pro"/>
                <w:sz w:val="18"/>
              </w:rPr>
              <w:t>0.0%</w:t>
            </w:r>
          </w:p>
        </w:tc>
        <w:tc>
          <w:tcPr>
            <w:tcW w:type="dxa" w:w="1440"/>
            <w:shd w:fill="FFFFFF" w:val="clear"/>
          </w:tcPr>
          <w:p>
            <w:r/>
            <w:r>
              <w:rPr>
                <w:rFonts w:ascii="Source Sans Pro" w:hAnsi="Source Sans Pro"/>
                <w:sz w:val="18"/>
              </w:rPr>
              <w:t>0</w:t>
            </w:r>
          </w:p>
        </w:tc>
        <w:tc>
          <w:tcPr>
            <w:tcW w:type="dxa" w:w="1152"/>
            <w:shd w:fill="FFFFFF" w:val="clear"/>
          </w:tcPr>
          <w:p>
            <w:r/>
            <w:r>
              <w:rPr>
                <w:rFonts w:ascii="Source Sans Pro" w:hAnsi="Source Sans Pro"/>
                <w:sz w:val="18"/>
              </w:rPr>
              <w:t>0.0%</w:t>
            </w:r>
          </w:p>
        </w:tc>
      </w:tr>
    </w:tbl>
    <w:p>
      <w:r>
        <w:br w:type="page"/>
      </w:r>
    </w:p>
    <w:p>
      <w:pPr>
        <w:pStyle w:val="Heading1"/>
      </w:pPr>
      <w:r>
        <w:t>6. Critical Risk Protocols &amp; Root Causes</w:t>
      </w:r>
    </w:p>
    <w:p>
      <w:pPr>
        <w:pStyle w:val="Heading2"/>
      </w:pPr>
      <w:r>
        <w:t>6.1 CRP Comparison</w:t>
      </w:r>
    </w:p>
    <w:p>
      <w:r>
        <w:drawing>
          <wp:inline xmlns:a="http://schemas.openxmlformats.org/drawingml/2006/main" xmlns:pic="http://schemas.openxmlformats.org/drawingml/2006/picture">
            <wp:extent cx="5029200" cy="2484916"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rp_by_pd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248491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</w:pPr>
      <w:r>
        <w:t>6.2 Root Cause Comparison</w:t>
      </w:r>
    </w:p>
    <w:p>
      <w:r>
        <w:drawing>
          <wp:inline xmlns:a="http://schemas.openxmlformats.org/drawingml/2006/main" xmlns:pic="http://schemas.openxmlformats.org/drawingml/2006/picture">
            <wp:extent cx="5029200" cy="2205046"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rootcause_by_pd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2205046"/>
                    </a:xfrm>
                    <a:prstGeom prst="rect"/>
                  </pic:spPr>
                </pic:pic>
              </a:graphicData>
            </a:graphic>
          </wp:inline>
        </w:drawing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2880"/>
            <w:shd w:fill="0b3254" w:val="clear"/>
          </w:tcPr>
          <w:p>
            <w:r/>
            <w:r>
              <w:rPr>
                <w:rFonts w:ascii="Source Sans Pro" w:hAnsi="Source Sans Pro"/>
                <w:b/>
                <w:color w:val="FFFFFF"/>
                <w:sz w:val="18"/>
              </w:rPr>
              <w:t>Root Cause</w:t>
            </w:r>
          </w:p>
        </w:tc>
        <w:tc>
          <w:tcPr>
            <w:tcW w:type="dxa" w:w="1584"/>
            <w:shd w:fill="0b3254" w:val="clear"/>
          </w:tcPr>
          <w:p>
            <w:r/>
            <w:r>
              <w:rPr>
                <w:rFonts w:ascii="Source Sans Pro" w:hAnsi="Source Sans Pro"/>
                <w:b/>
                <w:color w:val="FFFFFF"/>
                <w:sz w:val="18"/>
              </w:rPr>
              <w:t>Matthew Arthur</w:t>
            </w:r>
          </w:p>
        </w:tc>
        <w:tc>
          <w:tcPr>
            <w:tcW w:type="dxa" w:w="1152"/>
            <w:shd w:fill="0b3254" w:val="clear"/>
          </w:tcPr>
          <w:p>
            <w:r/>
            <w:r>
              <w:rPr>
                <w:rFonts w:ascii="Source Sans Pro" w:hAnsi="Source Sans Pro"/>
                <w:b/>
                <w:color w:val="FFFFFF"/>
                <w:sz w:val="18"/>
              </w:rPr>
              <w:t>%</w:t>
            </w:r>
          </w:p>
        </w:tc>
        <w:tc>
          <w:tcPr>
            <w:tcW w:type="dxa" w:w="1440"/>
            <w:shd w:fill="0b3254" w:val="clear"/>
          </w:tcPr>
          <w:p>
            <w:r/>
            <w:r>
              <w:rPr>
                <w:rFonts w:ascii="Source Sans Pro" w:hAnsi="Source Sans Pro"/>
                <w:b/>
                <w:color w:val="FFFFFF"/>
                <w:sz w:val="18"/>
              </w:rPr>
              <w:t>Manga</w:t>
            </w:r>
          </w:p>
        </w:tc>
        <w:tc>
          <w:tcPr>
            <w:tcW w:type="dxa" w:w="1152"/>
            <w:shd w:fill="0b3254" w:val="clear"/>
          </w:tcPr>
          <w:p>
            <w:r/>
            <w:r>
              <w:rPr>
                <w:rFonts w:ascii="Source Sans Pro" w:hAnsi="Source Sans Pro"/>
                <w:b/>
                <w:color w:val="FFFFFF"/>
                <w:sz w:val="18"/>
              </w:rPr>
              <w:t>%</w:t>
            </w:r>
          </w:p>
        </w:tc>
      </w:tr>
      <w:tr>
        <w:tc>
          <w:tcPr>
            <w:tcW w:type="dxa" w:w="2880"/>
            <w:shd w:fill="F0F5FA" w:val="clear"/>
          </w:tcPr>
          <w:p>
            <w:r/>
            <w:r>
              <w:rPr>
                <w:rFonts w:ascii="Source Sans Pro" w:hAnsi="Source Sans Pro"/>
                <w:sz w:val="18"/>
              </w:rPr>
              <w:t>External Factors</w:t>
            </w:r>
          </w:p>
        </w:tc>
        <w:tc>
          <w:tcPr>
            <w:tcW w:type="dxa" w:w="1584"/>
            <w:shd w:fill="F0F5FA" w:val="clear"/>
          </w:tcPr>
          <w:p>
            <w:r/>
            <w:r>
              <w:rPr>
                <w:rFonts w:ascii="Source Sans Pro" w:hAnsi="Source Sans Pro"/>
                <w:sz w:val="18"/>
              </w:rPr>
              <w:t>31</w:t>
            </w:r>
          </w:p>
        </w:tc>
        <w:tc>
          <w:tcPr>
            <w:tcW w:type="dxa" w:w="1152"/>
            <w:shd w:fill="F0F5FA" w:val="clear"/>
          </w:tcPr>
          <w:p>
            <w:r/>
            <w:r>
              <w:rPr>
                <w:rFonts w:ascii="Source Sans Pro" w:hAnsi="Source Sans Pro"/>
                <w:sz w:val="18"/>
              </w:rPr>
              <w:t>47.7%</w:t>
            </w:r>
          </w:p>
        </w:tc>
        <w:tc>
          <w:tcPr>
            <w:tcW w:type="dxa" w:w="1440"/>
            <w:shd w:fill="F0F5FA" w:val="clear"/>
          </w:tcPr>
          <w:p>
            <w:r/>
            <w:r>
              <w:rPr>
                <w:rFonts w:ascii="Source Sans Pro" w:hAnsi="Source Sans Pro"/>
                <w:sz w:val="18"/>
              </w:rPr>
              <w:t>15</w:t>
            </w:r>
          </w:p>
        </w:tc>
        <w:tc>
          <w:tcPr>
            <w:tcW w:type="dxa" w:w="1152"/>
            <w:shd w:fill="F0F5FA" w:val="clear"/>
          </w:tcPr>
          <w:p>
            <w:r/>
            <w:r>
              <w:rPr>
                <w:rFonts w:ascii="Source Sans Pro" w:hAnsi="Source Sans Pro"/>
                <w:sz w:val="18"/>
              </w:rPr>
              <w:t>28.3%</w:t>
            </w:r>
          </w:p>
        </w:tc>
      </w:tr>
      <w:tr>
        <w:tc>
          <w:tcPr>
            <w:tcW w:type="dxa" w:w="2880"/>
            <w:shd w:fill="FFFFFF" w:val="clear"/>
          </w:tcPr>
          <w:p>
            <w:r/>
            <w:r>
              <w:rPr>
                <w:rFonts w:ascii="Source Sans Pro" w:hAnsi="Source Sans Pro"/>
                <w:sz w:val="18"/>
              </w:rPr>
              <w:t>People</w:t>
            </w:r>
          </w:p>
        </w:tc>
        <w:tc>
          <w:tcPr>
            <w:tcW w:type="dxa" w:w="1584"/>
            <w:shd w:fill="FFFFFF" w:val="clear"/>
          </w:tcPr>
          <w:p>
            <w:r/>
            <w:r>
              <w:rPr>
                <w:rFonts w:ascii="Source Sans Pro" w:hAnsi="Source Sans Pro"/>
                <w:sz w:val="18"/>
              </w:rPr>
              <w:t>18</w:t>
            </w:r>
          </w:p>
        </w:tc>
        <w:tc>
          <w:tcPr>
            <w:tcW w:type="dxa" w:w="1152"/>
            <w:shd w:fill="FFFFFF" w:val="clear"/>
          </w:tcPr>
          <w:p>
            <w:r/>
            <w:r>
              <w:rPr>
                <w:rFonts w:ascii="Source Sans Pro" w:hAnsi="Source Sans Pro"/>
                <w:sz w:val="18"/>
              </w:rPr>
              <w:t>27.7%</w:t>
            </w:r>
          </w:p>
        </w:tc>
        <w:tc>
          <w:tcPr>
            <w:tcW w:type="dxa" w:w="1440"/>
            <w:shd w:fill="FFFFFF" w:val="clear"/>
          </w:tcPr>
          <w:p>
            <w:r/>
            <w:r>
              <w:rPr>
                <w:rFonts w:ascii="Source Sans Pro" w:hAnsi="Source Sans Pro"/>
                <w:sz w:val="18"/>
              </w:rPr>
              <w:t>20</w:t>
            </w:r>
          </w:p>
        </w:tc>
        <w:tc>
          <w:tcPr>
            <w:tcW w:type="dxa" w:w="1152"/>
            <w:shd w:fill="FFFFFF" w:val="clear"/>
          </w:tcPr>
          <w:p>
            <w:r/>
            <w:r>
              <w:rPr>
                <w:rFonts w:ascii="Source Sans Pro" w:hAnsi="Source Sans Pro"/>
                <w:sz w:val="18"/>
              </w:rPr>
              <w:t>37.7%</w:t>
            </w:r>
          </w:p>
        </w:tc>
      </w:tr>
      <w:tr>
        <w:tc>
          <w:tcPr>
            <w:tcW w:type="dxa" w:w="2880"/>
            <w:shd w:fill="F0F5FA" w:val="clear"/>
          </w:tcPr>
          <w:p>
            <w:r/>
            <w:r>
              <w:rPr>
                <w:rFonts w:ascii="Source Sans Pro" w:hAnsi="Source Sans Pro"/>
                <w:sz w:val="18"/>
              </w:rPr>
              <w:t>Production / Delivery</w:t>
            </w:r>
          </w:p>
        </w:tc>
        <w:tc>
          <w:tcPr>
            <w:tcW w:type="dxa" w:w="1584"/>
            <w:shd w:fill="F0F5FA" w:val="clear"/>
          </w:tcPr>
          <w:p>
            <w:r/>
            <w:r>
              <w:rPr>
                <w:rFonts w:ascii="Source Sans Pro" w:hAnsi="Source Sans Pro"/>
                <w:sz w:val="18"/>
              </w:rPr>
              <w:t>8</w:t>
            </w:r>
          </w:p>
        </w:tc>
        <w:tc>
          <w:tcPr>
            <w:tcW w:type="dxa" w:w="1152"/>
            <w:shd w:fill="F0F5FA" w:val="clear"/>
          </w:tcPr>
          <w:p>
            <w:r/>
            <w:r>
              <w:rPr>
                <w:rFonts w:ascii="Source Sans Pro" w:hAnsi="Source Sans Pro"/>
                <w:sz w:val="18"/>
              </w:rPr>
              <w:t>12.3%</w:t>
            </w:r>
          </w:p>
        </w:tc>
        <w:tc>
          <w:tcPr>
            <w:tcW w:type="dxa" w:w="1440"/>
            <w:shd w:fill="F0F5FA" w:val="clear"/>
          </w:tcPr>
          <w:p>
            <w:r/>
            <w:r>
              <w:rPr>
                <w:rFonts w:ascii="Source Sans Pro" w:hAnsi="Source Sans Pro"/>
                <w:sz w:val="18"/>
              </w:rPr>
              <w:t>12</w:t>
            </w:r>
          </w:p>
        </w:tc>
        <w:tc>
          <w:tcPr>
            <w:tcW w:type="dxa" w:w="1152"/>
            <w:shd w:fill="F0F5FA" w:val="clear"/>
          </w:tcPr>
          <w:p>
            <w:r/>
            <w:r>
              <w:rPr>
                <w:rFonts w:ascii="Source Sans Pro" w:hAnsi="Source Sans Pro"/>
                <w:sz w:val="18"/>
              </w:rPr>
              <w:t>22.6%</w:t>
            </w:r>
          </w:p>
        </w:tc>
      </w:tr>
      <w:tr>
        <w:tc>
          <w:tcPr>
            <w:tcW w:type="dxa" w:w="2880"/>
            <w:shd w:fill="FFFFFF" w:val="clear"/>
          </w:tcPr>
          <w:p>
            <w:r/>
            <w:r>
              <w:rPr>
                <w:rFonts w:ascii="Source Sans Pro" w:hAnsi="Source Sans Pro"/>
                <w:sz w:val="18"/>
              </w:rPr>
              <w:t>Process</w:t>
            </w:r>
          </w:p>
        </w:tc>
        <w:tc>
          <w:tcPr>
            <w:tcW w:type="dxa" w:w="1584"/>
            <w:shd w:fill="FFFFFF" w:val="clear"/>
          </w:tcPr>
          <w:p>
            <w:r/>
            <w:r>
              <w:rPr>
                <w:rFonts w:ascii="Source Sans Pro" w:hAnsi="Source Sans Pro"/>
                <w:sz w:val="18"/>
              </w:rPr>
              <w:t>5</w:t>
            </w:r>
          </w:p>
        </w:tc>
        <w:tc>
          <w:tcPr>
            <w:tcW w:type="dxa" w:w="1152"/>
            <w:shd w:fill="FFFFFF" w:val="clear"/>
          </w:tcPr>
          <w:p>
            <w:r/>
            <w:r>
              <w:rPr>
                <w:rFonts w:ascii="Source Sans Pro" w:hAnsi="Source Sans Pro"/>
                <w:sz w:val="18"/>
              </w:rPr>
              <w:t>7.7%</w:t>
            </w:r>
          </w:p>
        </w:tc>
        <w:tc>
          <w:tcPr>
            <w:tcW w:type="dxa" w:w="1440"/>
            <w:shd w:fill="FFFFFF" w:val="clear"/>
          </w:tcPr>
          <w:p>
            <w:r/>
            <w:r>
              <w:rPr>
                <w:rFonts w:ascii="Source Sans Pro" w:hAnsi="Source Sans Pro"/>
                <w:sz w:val="18"/>
              </w:rPr>
              <w:t>4</w:t>
            </w:r>
          </w:p>
        </w:tc>
        <w:tc>
          <w:tcPr>
            <w:tcW w:type="dxa" w:w="1152"/>
            <w:shd w:fill="FFFFFF" w:val="clear"/>
          </w:tcPr>
          <w:p>
            <w:r/>
            <w:r>
              <w:rPr>
                <w:rFonts w:ascii="Source Sans Pro" w:hAnsi="Source Sans Pro"/>
                <w:sz w:val="18"/>
              </w:rPr>
              <w:t>7.5%</w:t>
            </w:r>
          </w:p>
        </w:tc>
      </w:tr>
      <w:tr>
        <w:tc>
          <w:tcPr>
            <w:tcW w:type="dxa" w:w="2880"/>
            <w:shd w:fill="F0F5FA" w:val="clear"/>
          </w:tcPr>
          <w:p>
            <w:r/>
            <w:r>
              <w:rPr>
                <w:rFonts w:ascii="Source Sans Pro" w:hAnsi="Source Sans Pro"/>
                <w:sz w:val="18"/>
              </w:rPr>
              <w:t>Planning</w:t>
            </w:r>
          </w:p>
        </w:tc>
        <w:tc>
          <w:tcPr>
            <w:tcW w:type="dxa" w:w="1584"/>
            <w:shd w:fill="F0F5FA" w:val="clear"/>
          </w:tcPr>
          <w:p>
            <w:r/>
            <w:r>
              <w:rPr>
                <w:rFonts w:ascii="Source Sans Pro" w:hAnsi="Source Sans Pro"/>
                <w:sz w:val="18"/>
              </w:rPr>
              <w:t>3</w:t>
            </w:r>
          </w:p>
        </w:tc>
        <w:tc>
          <w:tcPr>
            <w:tcW w:type="dxa" w:w="1152"/>
            <w:shd w:fill="F0F5FA" w:val="clear"/>
          </w:tcPr>
          <w:p>
            <w:r/>
            <w:r>
              <w:rPr>
                <w:rFonts w:ascii="Source Sans Pro" w:hAnsi="Source Sans Pro"/>
                <w:sz w:val="18"/>
              </w:rPr>
              <w:t>4.6%</w:t>
            </w:r>
          </w:p>
        </w:tc>
        <w:tc>
          <w:tcPr>
            <w:tcW w:type="dxa" w:w="1440"/>
            <w:shd w:fill="F0F5FA" w:val="clear"/>
          </w:tcPr>
          <w:p>
            <w:r/>
            <w:r>
              <w:rPr>
                <w:rFonts w:ascii="Source Sans Pro" w:hAnsi="Source Sans Pro"/>
                <w:sz w:val="18"/>
              </w:rPr>
              <w:t>0</w:t>
            </w:r>
          </w:p>
        </w:tc>
        <w:tc>
          <w:tcPr>
            <w:tcW w:type="dxa" w:w="1152"/>
            <w:shd w:fill="F0F5FA" w:val="clear"/>
          </w:tcPr>
          <w:p>
            <w:r/>
            <w:r>
              <w:rPr>
                <w:rFonts w:ascii="Source Sans Pro" w:hAnsi="Source Sans Pro"/>
                <w:sz w:val="18"/>
              </w:rPr>
              <w:t>0.0%</w:t>
            </w:r>
          </w:p>
        </w:tc>
      </w:tr>
      <w:tr>
        <w:tc>
          <w:tcPr>
            <w:tcW w:type="dxa" w:w="2880"/>
            <w:shd w:fill="FFFFFF" w:val="clear"/>
          </w:tcPr>
          <w:p>
            <w:r/>
            <w:r>
              <w:rPr>
                <w:rFonts w:ascii="Source Sans Pro" w:hAnsi="Source Sans Pro"/>
                <w:sz w:val="18"/>
              </w:rPr>
              <w:t>Providers</w:t>
            </w:r>
          </w:p>
        </w:tc>
        <w:tc>
          <w:tcPr>
            <w:tcW w:type="dxa" w:w="1584"/>
            <w:shd w:fill="FFFFFF" w:val="clear"/>
          </w:tcPr>
          <w:p>
            <w:r/>
            <w:r>
              <w:rPr>
                <w:rFonts w:ascii="Source Sans Pro" w:hAnsi="Source Sans Pro"/>
                <w:sz w:val="18"/>
              </w:rPr>
              <w:t>0</w:t>
            </w:r>
          </w:p>
        </w:tc>
        <w:tc>
          <w:tcPr>
            <w:tcW w:type="dxa" w:w="1152"/>
            <w:shd w:fill="FFFFFF" w:val="clear"/>
          </w:tcPr>
          <w:p>
            <w:r/>
            <w:r>
              <w:rPr>
                <w:rFonts w:ascii="Source Sans Pro" w:hAnsi="Source Sans Pro"/>
                <w:sz w:val="18"/>
              </w:rPr>
              <w:t>0.0%</w:t>
            </w:r>
          </w:p>
        </w:tc>
        <w:tc>
          <w:tcPr>
            <w:tcW w:type="dxa" w:w="1440"/>
            <w:shd w:fill="FFFFFF" w:val="clear"/>
          </w:tcPr>
          <w:p>
            <w:r/>
            <w:r>
              <w:rPr>
                <w:rFonts w:ascii="Source Sans Pro" w:hAnsi="Source Sans Pro"/>
                <w:sz w:val="18"/>
              </w:rPr>
              <w:t>2</w:t>
            </w:r>
          </w:p>
        </w:tc>
        <w:tc>
          <w:tcPr>
            <w:tcW w:type="dxa" w:w="1152"/>
            <w:shd w:fill="FFFFFF" w:val="clear"/>
          </w:tcPr>
          <w:p>
            <w:r/>
            <w:r>
              <w:rPr>
                <w:rFonts w:ascii="Source Sans Pro" w:hAnsi="Source Sans Pro"/>
                <w:sz w:val="18"/>
              </w:rPr>
              <w:t>3.8%</w:t>
            </w:r>
          </w:p>
        </w:tc>
      </w:tr>
    </w:tbl>
    <w:p>
      <w:r>
        <w:br w:type="page"/>
      </w:r>
    </w:p>
    <w:p>
      <w:pPr>
        <w:pStyle w:val="Heading1"/>
      </w:pPr>
      <w:r>
        <w:t>7. Timing Patterns</w:t>
      </w:r>
    </w:p>
    <w:p>
      <w:r>
        <w:drawing>
          <wp:inline xmlns:a="http://schemas.openxmlformats.org/drawingml/2006/main" xmlns:pic="http://schemas.openxmlformats.org/drawingml/2006/picture">
            <wp:extent cx="5029200" cy="2203807"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ow_by_pd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220380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pStyle w:val="Heading1"/>
      </w:pPr>
      <w:r>
        <w:t>8. Investigation Performance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3600"/>
            <w:shd w:fill="0b3254" w:val="clear"/>
          </w:tcPr>
          <w:p>
            <w:r/>
            <w:r>
              <w:rPr>
                <w:rFonts w:ascii="Source Sans Pro" w:hAnsi="Source Sans Pro"/>
                <w:b/>
                <w:color w:val="FFFFFF"/>
                <w:sz w:val="18"/>
              </w:rPr>
              <w:t>Metric</w:t>
            </w:r>
          </w:p>
        </w:tc>
        <w:tc>
          <w:tcPr>
            <w:tcW w:type="dxa" w:w="2592"/>
            <w:shd w:fill="0b3254" w:val="clear"/>
          </w:tcPr>
          <w:p>
            <w:r/>
            <w:r>
              <w:rPr>
                <w:rFonts w:ascii="Source Sans Pro" w:hAnsi="Source Sans Pro"/>
                <w:b/>
                <w:color w:val="FFFFFF"/>
                <w:sz w:val="18"/>
              </w:rPr>
              <w:t>Matthew Arthur</w:t>
            </w:r>
          </w:p>
        </w:tc>
        <w:tc>
          <w:tcPr>
            <w:tcW w:type="dxa" w:w="2592"/>
            <w:shd w:fill="0b3254" w:val="clear"/>
          </w:tcPr>
          <w:p>
            <w:r/>
            <w:r>
              <w:rPr>
                <w:rFonts w:ascii="Source Sans Pro" w:hAnsi="Source Sans Pro"/>
                <w:b/>
                <w:color w:val="FFFFFF"/>
                <w:sz w:val="18"/>
              </w:rPr>
              <w:t>Manga</w:t>
            </w:r>
          </w:p>
        </w:tc>
      </w:tr>
      <w:tr>
        <w:tc>
          <w:tcPr>
            <w:tcW w:type="dxa" w:w="3600"/>
            <w:shd w:fill="F0F5FA" w:val="clear"/>
          </w:tcPr>
          <w:p>
            <w:r/>
            <w:r>
              <w:rPr>
                <w:rFonts w:ascii="Source Sans Pro" w:hAnsi="Source Sans Pro"/>
                <w:sz w:val="18"/>
              </w:rPr>
              <w:t>Median Days to Investigate</w:t>
            </w:r>
          </w:p>
        </w:tc>
        <w:tc>
          <w:tcPr>
            <w:tcW w:type="dxa" w:w="2592"/>
            <w:shd w:fill="F0F5FA" w:val="clear"/>
          </w:tcPr>
          <w:p>
            <w:r/>
            <w:r>
              <w:rPr>
                <w:rFonts w:ascii="Source Sans Pro" w:hAnsi="Source Sans Pro"/>
                <w:sz w:val="18"/>
              </w:rPr>
              <w:t>15</w:t>
            </w:r>
          </w:p>
        </w:tc>
        <w:tc>
          <w:tcPr>
            <w:tcW w:type="dxa" w:w="2592"/>
            <w:shd w:fill="F0F5FA" w:val="clear"/>
          </w:tcPr>
          <w:p>
            <w:r/>
            <w:r>
              <w:rPr>
                <w:rFonts w:ascii="Source Sans Pro" w:hAnsi="Source Sans Pro"/>
                <w:sz w:val="18"/>
              </w:rPr>
              <w:t>14</w:t>
            </w:r>
          </w:p>
        </w:tc>
      </w:tr>
      <w:tr>
        <w:tc>
          <w:tcPr>
            <w:tcW w:type="dxa" w:w="3600"/>
            <w:shd w:fill="FFFFFF" w:val="clear"/>
          </w:tcPr>
          <w:p>
            <w:r/>
            <w:r>
              <w:rPr>
                <w:rFonts w:ascii="Source Sans Pro" w:hAnsi="Source Sans Pro"/>
                <w:sz w:val="18"/>
              </w:rPr>
              <w:t>Mean Days to Investigate</w:t>
            </w:r>
          </w:p>
        </w:tc>
        <w:tc>
          <w:tcPr>
            <w:tcW w:type="dxa" w:w="2592"/>
            <w:shd w:fill="FFFFFF" w:val="clear"/>
          </w:tcPr>
          <w:p>
            <w:r/>
            <w:r>
              <w:rPr>
                <w:rFonts w:ascii="Source Sans Pro" w:hAnsi="Source Sans Pro"/>
                <w:sz w:val="18"/>
              </w:rPr>
              <w:t>25.3</w:t>
            </w:r>
          </w:p>
        </w:tc>
        <w:tc>
          <w:tcPr>
            <w:tcW w:type="dxa" w:w="2592"/>
            <w:shd w:fill="FFFFFF" w:val="clear"/>
          </w:tcPr>
          <w:p>
            <w:r/>
            <w:r>
              <w:rPr>
                <w:rFonts w:ascii="Source Sans Pro" w:hAnsi="Source Sans Pro"/>
                <w:sz w:val="18"/>
              </w:rPr>
              <w:t>24.4</w:t>
            </w:r>
          </w:p>
        </w:tc>
      </w:tr>
      <w:tr>
        <w:tc>
          <w:tcPr>
            <w:tcW w:type="dxa" w:w="3600"/>
            <w:shd w:fill="F0F5FA" w:val="clear"/>
          </w:tcPr>
          <w:p>
            <w:r/>
            <w:r>
              <w:rPr>
                <w:rFonts w:ascii="Source Sans Pro" w:hAnsi="Source Sans Pro"/>
                <w:sz w:val="18"/>
              </w:rPr>
              <w:t>Median Days to Close</w:t>
            </w:r>
          </w:p>
        </w:tc>
        <w:tc>
          <w:tcPr>
            <w:tcW w:type="dxa" w:w="2592"/>
            <w:shd w:fill="F0F5FA" w:val="clear"/>
          </w:tcPr>
          <w:p>
            <w:r/>
            <w:r>
              <w:rPr>
                <w:rFonts w:ascii="Source Sans Pro" w:hAnsi="Source Sans Pro"/>
                <w:sz w:val="18"/>
              </w:rPr>
              <w:t>46</w:t>
            </w:r>
          </w:p>
        </w:tc>
        <w:tc>
          <w:tcPr>
            <w:tcW w:type="dxa" w:w="2592"/>
            <w:shd w:fill="F0F5FA" w:val="clear"/>
          </w:tcPr>
          <w:p>
            <w:r/>
            <w:r>
              <w:rPr>
                <w:rFonts w:ascii="Source Sans Pro" w:hAnsi="Source Sans Pro"/>
                <w:sz w:val="18"/>
              </w:rPr>
              <w:t>44</w:t>
            </w:r>
          </w:p>
        </w:tc>
      </w:tr>
      <w:tr>
        <w:tc>
          <w:tcPr>
            <w:tcW w:type="dxa" w:w="3600"/>
            <w:shd w:fill="FFFFFF" w:val="clear"/>
          </w:tcPr>
          <w:p>
            <w:r/>
            <w:r>
              <w:rPr>
                <w:rFonts w:ascii="Source Sans Pro" w:hAnsi="Source Sans Pro"/>
                <w:sz w:val="18"/>
              </w:rPr>
              <w:t>Mean Days to Close</w:t>
            </w:r>
          </w:p>
        </w:tc>
        <w:tc>
          <w:tcPr>
            <w:tcW w:type="dxa" w:w="2592"/>
            <w:shd w:fill="FFFFFF" w:val="clear"/>
          </w:tcPr>
          <w:p>
            <w:r/>
            <w:r>
              <w:rPr>
                <w:rFonts w:ascii="Source Sans Pro" w:hAnsi="Source Sans Pro"/>
                <w:sz w:val="18"/>
              </w:rPr>
              <w:t>58.4</w:t>
            </w:r>
          </w:p>
        </w:tc>
        <w:tc>
          <w:tcPr>
            <w:tcW w:type="dxa" w:w="2592"/>
            <w:shd w:fill="FFFFFF" w:val="clear"/>
          </w:tcPr>
          <w:p>
            <w:r/>
            <w:r>
              <w:rPr>
                <w:rFonts w:ascii="Source Sans Pro" w:hAnsi="Source Sans Pro"/>
                <w:sz w:val="18"/>
              </w:rPr>
              <w:t>51.7</w:t>
            </w:r>
          </w:p>
        </w:tc>
      </w:tr>
      <w:tr>
        <w:tc>
          <w:tcPr>
            <w:tcW w:type="dxa" w:w="3600"/>
            <w:shd w:fill="F0F5FA" w:val="clear"/>
          </w:tcPr>
          <w:p>
            <w:r/>
            <w:r>
              <w:rPr>
                <w:rFonts w:ascii="Source Sans Pro" w:hAnsi="Source Sans Pro"/>
                <w:sz w:val="18"/>
              </w:rPr>
              <w:t>Events Closed</w:t>
            </w:r>
          </w:p>
        </w:tc>
        <w:tc>
          <w:tcPr>
            <w:tcW w:type="dxa" w:w="2592"/>
            <w:shd w:fill="F0F5FA" w:val="clear"/>
          </w:tcPr>
          <w:p>
            <w:r/>
            <w:r>
              <w:rPr>
                <w:rFonts w:ascii="Source Sans Pro" w:hAnsi="Source Sans Pro"/>
                <w:sz w:val="18"/>
              </w:rPr>
              <w:t>65 (100%)</w:t>
            </w:r>
          </w:p>
        </w:tc>
        <w:tc>
          <w:tcPr>
            <w:tcW w:type="dxa" w:w="2592"/>
            <w:shd w:fill="F0F5FA" w:val="clear"/>
          </w:tcPr>
          <w:p>
            <w:r/>
            <w:r>
              <w:rPr>
                <w:rFonts w:ascii="Source Sans Pro" w:hAnsi="Source Sans Pro"/>
                <w:sz w:val="18"/>
              </w:rPr>
              <w:t>48 (83%)</w:t>
            </w:r>
          </w:p>
        </w:tc>
      </w:tr>
      <w:tr>
        <w:tc>
          <w:tcPr>
            <w:tcW w:type="dxa" w:w="3600"/>
            <w:shd w:fill="FFFFFF" w:val="clear"/>
          </w:tcPr>
          <w:p>
            <w:r/>
            <w:r>
              <w:rPr>
                <w:rFonts w:ascii="Source Sans Pro" w:hAnsi="Source Sans Pro"/>
                <w:sz w:val="18"/>
              </w:rPr>
              <w:t>Events Open</w:t>
            </w:r>
          </w:p>
        </w:tc>
        <w:tc>
          <w:tcPr>
            <w:tcW w:type="dxa" w:w="2592"/>
            <w:shd w:fill="FFFFFF" w:val="clear"/>
          </w:tcPr>
          <w:p>
            <w:r/>
            <w:r>
              <w:rPr>
                <w:rFonts w:ascii="Source Sans Pro" w:hAnsi="Source Sans Pro"/>
                <w:sz w:val="18"/>
              </w:rPr>
              <w:t>0</w:t>
            </w:r>
          </w:p>
        </w:tc>
        <w:tc>
          <w:tcPr>
            <w:tcW w:type="dxa" w:w="2592"/>
            <w:shd w:fill="FFFFFF" w:val="clear"/>
          </w:tcPr>
          <w:p>
            <w:r/>
            <w:r>
              <w:rPr>
                <w:rFonts w:ascii="Source Sans Pro" w:hAnsi="Source Sans Pro"/>
                <w:sz w:val="18"/>
              </w:rPr>
              <w:t>10</w:t>
            </w:r>
          </w:p>
        </w:tc>
      </w:tr>
    </w:tbl>
    <w:p>
      <w:r>
        <w:br w:type="page"/>
      </w:r>
    </w:p>
    <w:p>
      <w:pPr>
        <w:pStyle w:val="Heading1"/>
      </w:pPr>
      <w:r>
        <w:t>9. Key Findings &amp; Recommendations</w:t>
      </w:r>
    </w:p>
    <w:p>
      <w:pPr>
        <w:pStyle w:val="Heading2"/>
      </w:pPr>
      <w:r>
        <w:t>9.1 Areas Requiring Attention (Manga Period)</w:t>
      </w:r>
    </w:p>
    <w:p>
      <w:pPr>
        <w:pStyle w:val="ListBullet"/>
      </w:pPr>
      <w:r>
        <w:t>Motor vehicle events have increased — reinforce journey management plans and reversing protocols.</w:t>
      </w:r>
    </w:p>
    <w:p>
      <w:pPr>
        <w:pStyle w:val="ListBullet"/>
      </w:pPr>
      <w:r>
        <w:t>Moderate+ consequence events have increased — investigate whether controls are being bypassed.</w:t>
      </w:r>
    </w:p>
    <w:p>
      <w:pPr>
        <w:pStyle w:val="ListBullet"/>
      </w:pPr>
      <w:r>
        <w:t>Close call reporting has declined — implement reporting targets and recognise reporters.</w:t>
      </w:r>
    </w:p>
    <w:p>
      <w:pPr>
        <w:pStyle w:val="ListBullet"/>
      </w:pPr>
      <w:r>
        <w:t>2 LTIs under Manga vs 0 under Matthew Arthur — review circumstances and RTW processes.</w:t>
      </w:r>
    </w:p>
    <w:p>
      <w:pPr>
        <w:pStyle w:val="Heading2"/>
      </w:pPr>
      <w:r>
        <w:t>9.2 Systemic Issues (Both Periods)</w:t>
      </w:r>
    </w:p>
    <w:p>
      <w:pPr>
        <w:pStyle w:val="ListBullet"/>
      </w:pPr>
      <w:r>
        <w:t>Lower back injuries from manual handling at pump stations persist — engineering controls needed.</w:t>
      </w:r>
    </w:p>
    <w:p>
      <w:pPr>
        <w:pStyle w:val="ListBullet"/>
      </w:pPr>
      <w:r>
        <w:t>Third Party/Public Liability events remain a large category, driven by aging infrastructure.</w:t>
      </w:r>
    </w:p>
    <w:p>
      <w:pPr>
        <w:pStyle w:val="ListBullet"/>
      </w:pPr>
      <w:r>
        <w:t>Wednesday remains the peak risk day — consider targeted mid-week safety interventions.</w:t>
      </w:r>
    </w:p>
    <w:p>
      <w:pPr>
        <w:pStyle w:val="Heading2"/>
      </w:pPr>
      <w:r>
        <w:t>9.3 Recommended Actions</w:t>
      </w:r>
    </w:p>
    <w:p>
      <w:pPr>
        <w:pStyle w:val="ListBullet"/>
      </w:pPr>
      <w:r>
        <w:t>Set a close-call reporting KPI (minimum 10% of all events) and track monthly.</w:t>
      </w:r>
    </w:p>
    <w:p>
      <w:pPr>
        <w:pStyle w:val="ListBullet"/>
      </w:pPr>
      <w:r>
        <w:t>Implement a motor vehicle safety campaign focusing on reversing and traffic management.</w:t>
      </w:r>
    </w:p>
    <w:p>
      <w:pPr>
        <w:pStyle w:val="ListBullet"/>
      </w:pPr>
      <w:r>
        <w:t>Schedule quarterly PD safety performance reviews using this report format.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Source Sans Pro" w:hAnsi="Source Sans Pro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Source Sans Pro" w:hAnsi="Source Sans Pro"/>
      <w:b/>
      <w:bCs/>
      <w:color w:val="0B3254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Source Sans Pro" w:hAnsi="Source Sans Pro"/>
      <w:b/>
      <w:bCs/>
      <w:color w:val="13B5E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